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F0F" w:rsidRDefault="00806F0F" w:rsidP="00806F0F">
      <w:pPr>
        <w:rPr>
          <w:sz w:val="22"/>
          <w:szCs w:val="22"/>
        </w:rPr>
      </w:pPr>
    </w:p>
    <w:p w:rsidR="00806F0F" w:rsidRDefault="00806F0F" w:rsidP="00806F0F">
      <w:pPr>
        <w:rPr>
          <w:sz w:val="22"/>
          <w:szCs w:val="22"/>
        </w:rPr>
      </w:pPr>
    </w:p>
    <w:p w:rsidR="00225290" w:rsidRPr="003A07E6" w:rsidRDefault="00225290" w:rsidP="00806F0F">
      <w:pPr>
        <w:rPr>
          <w:sz w:val="22"/>
          <w:szCs w:val="22"/>
        </w:rPr>
      </w:pPr>
    </w:p>
    <w:p w:rsidR="00225290" w:rsidRPr="003A07E6" w:rsidRDefault="00853FB8" w:rsidP="00806F0F">
      <w:pPr>
        <w:rPr>
          <w:b/>
          <w:sz w:val="22"/>
          <w:szCs w:val="22"/>
          <w:u w:val="single"/>
        </w:rPr>
      </w:pPr>
      <w:r w:rsidRPr="003A07E6">
        <w:rPr>
          <w:b/>
          <w:sz w:val="22"/>
          <w:szCs w:val="22"/>
          <w:u w:val="single"/>
        </w:rPr>
        <w:t xml:space="preserve">Date </w:t>
      </w:r>
    </w:p>
    <w:p w:rsidR="00853FB8" w:rsidRPr="003A07E6" w:rsidRDefault="00853FB8" w:rsidP="00806F0F">
      <w:pPr>
        <w:rPr>
          <w:b/>
          <w:sz w:val="22"/>
          <w:szCs w:val="22"/>
          <w:u w:val="single"/>
        </w:rPr>
      </w:pPr>
    </w:p>
    <w:p w:rsidR="00853FB8" w:rsidRPr="003A07E6" w:rsidRDefault="00853FB8" w:rsidP="00806F0F">
      <w:pPr>
        <w:rPr>
          <w:b/>
          <w:sz w:val="22"/>
          <w:szCs w:val="22"/>
          <w:u w:val="single"/>
        </w:rPr>
      </w:pPr>
      <w:r w:rsidRPr="003A07E6">
        <w:rPr>
          <w:b/>
          <w:sz w:val="22"/>
          <w:szCs w:val="22"/>
          <w:u w:val="single"/>
        </w:rPr>
        <w:t>Addressee</w:t>
      </w:r>
    </w:p>
    <w:p w:rsidR="00225290" w:rsidRPr="003A07E6" w:rsidRDefault="00225290" w:rsidP="00806F0F">
      <w:pPr>
        <w:rPr>
          <w:b/>
          <w:sz w:val="22"/>
          <w:szCs w:val="22"/>
          <w:u w:val="single"/>
        </w:rPr>
      </w:pPr>
    </w:p>
    <w:p w:rsidR="00456E62" w:rsidRDefault="003A07E6" w:rsidP="00806F0F">
      <w:pPr>
        <w:rPr>
          <w:sz w:val="22"/>
          <w:szCs w:val="22"/>
        </w:rPr>
      </w:pPr>
      <w:r>
        <w:rPr>
          <w:sz w:val="22"/>
          <w:szCs w:val="22"/>
        </w:rPr>
        <w:t>___________________________________</w:t>
      </w:r>
    </w:p>
    <w:p w:rsidR="003A07E6" w:rsidRDefault="003A07E6" w:rsidP="00806F0F">
      <w:pPr>
        <w:rPr>
          <w:sz w:val="22"/>
          <w:szCs w:val="22"/>
        </w:rPr>
      </w:pPr>
      <w:r>
        <w:rPr>
          <w:sz w:val="22"/>
          <w:szCs w:val="22"/>
        </w:rPr>
        <w:t>___________________________________</w:t>
      </w:r>
    </w:p>
    <w:p w:rsidR="003A07E6" w:rsidRDefault="003A07E6" w:rsidP="00806F0F">
      <w:pPr>
        <w:rPr>
          <w:sz w:val="22"/>
          <w:szCs w:val="22"/>
        </w:rPr>
      </w:pPr>
      <w:r>
        <w:rPr>
          <w:sz w:val="22"/>
          <w:szCs w:val="22"/>
        </w:rPr>
        <w:t>___________________________________</w:t>
      </w:r>
    </w:p>
    <w:p w:rsidR="003A07E6" w:rsidRPr="003A07E6" w:rsidRDefault="003A07E6" w:rsidP="00806F0F">
      <w:pPr>
        <w:rPr>
          <w:sz w:val="22"/>
          <w:szCs w:val="22"/>
        </w:rPr>
      </w:pPr>
    </w:p>
    <w:p w:rsidR="00806F0F" w:rsidRPr="003A07E6" w:rsidRDefault="00806F0F" w:rsidP="00806F0F">
      <w:pPr>
        <w:rPr>
          <w:sz w:val="22"/>
          <w:szCs w:val="22"/>
        </w:rPr>
      </w:pPr>
    </w:p>
    <w:p w:rsidR="00806F0F" w:rsidRPr="003A07E6" w:rsidRDefault="00806F0F" w:rsidP="00BC105B">
      <w:pPr>
        <w:rPr>
          <w:b/>
          <w:i/>
          <w:sz w:val="22"/>
          <w:szCs w:val="22"/>
        </w:rPr>
      </w:pPr>
      <w:r w:rsidRPr="003A07E6">
        <w:rPr>
          <w:b/>
          <w:i/>
          <w:sz w:val="22"/>
          <w:szCs w:val="22"/>
        </w:rPr>
        <w:t>Re:</w:t>
      </w:r>
      <w:r w:rsidRPr="003A07E6">
        <w:rPr>
          <w:b/>
          <w:i/>
          <w:sz w:val="22"/>
          <w:szCs w:val="22"/>
        </w:rPr>
        <w:tab/>
      </w:r>
      <w:r w:rsidR="00853FB8" w:rsidRPr="003A07E6">
        <w:rPr>
          <w:b/>
          <w:i/>
          <w:sz w:val="22"/>
          <w:szCs w:val="22"/>
        </w:rPr>
        <w:t>Letter of Intent to Purchase ______________________________</w:t>
      </w:r>
      <w:r w:rsidR="003A07E6">
        <w:rPr>
          <w:b/>
          <w:i/>
          <w:sz w:val="22"/>
          <w:szCs w:val="22"/>
        </w:rPr>
        <w:t>, Lathrop, CA</w:t>
      </w:r>
    </w:p>
    <w:p w:rsidR="00BC105B" w:rsidRPr="003A07E6" w:rsidRDefault="00BC105B" w:rsidP="00BC105B">
      <w:pPr>
        <w:rPr>
          <w:sz w:val="22"/>
          <w:szCs w:val="22"/>
        </w:rPr>
      </w:pPr>
    </w:p>
    <w:p w:rsidR="00806F0F" w:rsidRPr="003A07E6" w:rsidRDefault="00BC105B" w:rsidP="00806F0F">
      <w:pPr>
        <w:spacing w:after="200"/>
        <w:rPr>
          <w:sz w:val="22"/>
          <w:szCs w:val="22"/>
        </w:rPr>
      </w:pPr>
      <w:r w:rsidRPr="003A07E6">
        <w:rPr>
          <w:sz w:val="22"/>
          <w:szCs w:val="22"/>
        </w:rPr>
        <w:t xml:space="preserve">Dear </w:t>
      </w:r>
      <w:r w:rsidR="00853FB8" w:rsidRPr="003A07E6">
        <w:rPr>
          <w:sz w:val="22"/>
          <w:szCs w:val="22"/>
        </w:rPr>
        <w:t>__________________</w:t>
      </w:r>
      <w:r w:rsidR="00456E62" w:rsidRPr="003A07E6">
        <w:rPr>
          <w:sz w:val="22"/>
          <w:szCs w:val="22"/>
        </w:rPr>
        <w:t>:</w:t>
      </w:r>
    </w:p>
    <w:p w:rsidR="00456E62" w:rsidRPr="003A07E6" w:rsidRDefault="00456E62" w:rsidP="00853FB8">
      <w:pPr>
        <w:spacing w:after="200"/>
        <w:jc w:val="both"/>
        <w:rPr>
          <w:sz w:val="22"/>
          <w:szCs w:val="22"/>
        </w:rPr>
      </w:pPr>
      <w:r w:rsidRPr="003A07E6">
        <w:rPr>
          <w:sz w:val="22"/>
          <w:szCs w:val="22"/>
        </w:rPr>
        <w:t>This non-binding letter of intent</w:t>
      </w:r>
      <w:r w:rsidR="009863B5">
        <w:rPr>
          <w:sz w:val="22"/>
          <w:szCs w:val="22"/>
        </w:rPr>
        <w:t xml:space="preserve"> (the “</w:t>
      </w:r>
      <w:proofErr w:type="spellStart"/>
      <w:r w:rsidR="009863B5">
        <w:rPr>
          <w:sz w:val="22"/>
          <w:szCs w:val="22"/>
        </w:rPr>
        <w:t>LOI</w:t>
      </w:r>
      <w:proofErr w:type="spellEnd"/>
      <w:r w:rsidR="009863B5">
        <w:rPr>
          <w:sz w:val="22"/>
          <w:szCs w:val="22"/>
        </w:rPr>
        <w:t>”)</w:t>
      </w:r>
      <w:r w:rsidRPr="003A07E6">
        <w:rPr>
          <w:sz w:val="22"/>
          <w:szCs w:val="22"/>
        </w:rPr>
        <w:t xml:space="preserve"> is </w:t>
      </w:r>
      <w:r w:rsidR="00853FB8" w:rsidRPr="003A07E6">
        <w:rPr>
          <w:sz w:val="22"/>
          <w:szCs w:val="22"/>
        </w:rPr>
        <w:t>Lathrop Land Acquisition, LLC’s</w:t>
      </w:r>
      <w:r w:rsidRPr="003A07E6">
        <w:rPr>
          <w:sz w:val="22"/>
          <w:szCs w:val="22"/>
        </w:rPr>
        <w:t xml:space="preserve"> </w:t>
      </w:r>
      <w:r w:rsidR="00C156F8" w:rsidRPr="003A07E6">
        <w:rPr>
          <w:sz w:val="22"/>
          <w:szCs w:val="22"/>
        </w:rPr>
        <w:t xml:space="preserve">(“Seller”) </w:t>
      </w:r>
      <w:r w:rsidRPr="003A07E6">
        <w:rPr>
          <w:sz w:val="22"/>
          <w:szCs w:val="22"/>
        </w:rPr>
        <w:t xml:space="preserve">written offer for </w:t>
      </w:r>
      <w:r w:rsidR="00BC105B" w:rsidRPr="003A07E6">
        <w:rPr>
          <w:sz w:val="22"/>
          <w:szCs w:val="22"/>
        </w:rPr>
        <w:t>the sale</w:t>
      </w:r>
      <w:r w:rsidR="00853FB8" w:rsidRPr="003A07E6">
        <w:rPr>
          <w:sz w:val="22"/>
          <w:szCs w:val="22"/>
        </w:rPr>
        <w:t xml:space="preserve"> the hereafter defined Property.  </w:t>
      </w:r>
      <w:r w:rsidR="00BB49AC" w:rsidRPr="003A07E6">
        <w:rPr>
          <w:sz w:val="22"/>
          <w:szCs w:val="22"/>
        </w:rPr>
        <w:t xml:space="preserve">The following is a </w:t>
      </w:r>
      <w:r w:rsidR="003A07E6">
        <w:rPr>
          <w:sz w:val="22"/>
          <w:szCs w:val="22"/>
        </w:rPr>
        <w:t xml:space="preserve">non-binding </w:t>
      </w:r>
      <w:r w:rsidR="00BB49AC" w:rsidRPr="003A07E6">
        <w:rPr>
          <w:sz w:val="22"/>
          <w:szCs w:val="22"/>
        </w:rPr>
        <w:t>summary of</w:t>
      </w:r>
      <w:r w:rsidR="00450D82">
        <w:rPr>
          <w:sz w:val="22"/>
          <w:szCs w:val="22"/>
        </w:rPr>
        <w:t xml:space="preserve"> the</w:t>
      </w:r>
      <w:r w:rsidR="00BB49AC" w:rsidRPr="003A07E6">
        <w:rPr>
          <w:sz w:val="22"/>
          <w:szCs w:val="22"/>
        </w:rPr>
        <w:t xml:space="preserve"> basic terms for the sale</w:t>
      </w:r>
      <w:r w:rsidR="0085051E">
        <w:rPr>
          <w:sz w:val="22"/>
          <w:szCs w:val="22"/>
        </w:rPr>
        <w:t xml:space="preserve"> </w:t>
      </w:r>
      <w:r w:rsidR="00BB49AC" w:rsidRPr="003A07E6">
        <w:rPr>
          <w:sz w:val="22"/>
          <w:szCs w:val="22"/>
        </w:rPr>
        <w:t xml:space="preserve">which </w:t>
      </w:r>
      <w:r w:rsidR="009863B5">
        <w:rPr>
          <w:sz w:val="22"/>
          <w:szCs w:val="22"/>
        </w:rPr>
        <w:t xml:space="preserve">shall not be binding until the parties execute a formal </w:t>
      </w:r>
      <w:r w:rsidR="0085051E">
        <w:rPr>
          <w:sz w:val="22"/>
          <w:szCs w:val="22"/>
        </w:rPr>
        <w:t>written agreement</w:t>
      </w:r>
      <w:r w:rsidR="009863B5">
        <w:rPr>
          <w:sz w:val="22"/>
          <w:szCs w:val="22"/>
        </w:rPr>
        <w:t xml:space="preserve"> on</w:t>
      </w:r>
      <w:r w:rsidR="0059370E" w:rsidRPr="003A07E6">
        <w:rPr>
          <w:sz w:val="22"/>
          <w:szCs w:val="22"/>
        </w:rPr>
        <w:t xml:space="preserve"> Seller’s form Purchase and Sale Agreement and Joint Escrow Instructions (the “</w:t>
      </w:r>
      <w:r w:rsidR="003D1B30" w:rsidRPr="003A07E6">
        <w:rPr>
          <w:sz w:val="22"/>
          <w:szCs w:val="22"/>
        </w:rPr>
        <w:t>Purchase and Sale Agreement</w:t>
      </w:r>
      <w:r w:rsidR="0059370E" w:rsidRPr="003A07E6">
        <w:rPr>
          <w:sz w:val="22"/>
          <w:szCs w:val="22"/>
        </w:rPr>
        <w:t>”)</w:t>
      </w:r>
      <w:r w:rsidR="00BB49AC" w:rsidRPr="003A07E6">
        <w:rPr>
          <w:sz w:val="22"/>
          <w:szCs w:val="22"/>
        </w:rPr>
        <w:t>.</w:t>
      </w:r>
      <w:r w:rsidR="0059370E" w:rsidRPr="003A07E6">
        <w:rPr>
          <w:sz w:val="22"/>
          <w:szCs w:val="22"/>
        </w:rPr>
        <w:t xml:space="preserve">  </w:t>
      </w:r>
      <w:r w:rsidR="00BB49AC" w:rsidRPr="003A07E6">
        <w:rPr>
          <w:sz w:val="22"/>
          <w:szCs w:val="22"/>
        </w:rPr>
        <w:t xml:space="preserve">  </w:t>
      </w:r>
    </w:p>
    <w:p w:rsidR="00C156F8" w:rsidRPr="003A07E6" w:rsidRDefault="00A53329" w:rsidP="00806F0F">
      <w:pPr>
        <w:spacing w:after="200"/>
        <w:rPr>
          <w:sz w:val="22"/>
          <w:szCs w:val="22"/>
        </w:rPr>
      </w:pPr>
      <w:r w:rsidRPr="003A07E6">
        <w:rPr>
          <w:b/>
          <w:sz w:val="22"/>
          <w:szCs w:val="22"/>
          <w:u w:val="single"/>
        </w:rPr>
        <w:t>Buyer</w:t>
      </w:r>
      <w:r w:rsidR="00C156F8" w:rsidRPr="003A07E6">
        <w:rPr>
          <w:sz w:val="22"/>
          <w:szCs w:val="22"/>
        </w:rPr>
        <w:t xml:space="preserve">: </w:t>
      </w:r>
      <w:r w:rsidR="004C7FB1">
        <w:rPr>
          <w:sz w:val="22"/>
          <w:szCs w:val="22"/>
        </w:rPr>
        <w:tab/>
      </w:r>
      <w:r w:rsidR="004C7FB1">
        <w:rPr>
          <w:sz w:val="22"/>
          <w:szCs w:val="22"/>
        </w:rPr>
        <w:tab/>
      </w:r>
      <w:r w:rsidR="0059370E" w:rsidRPr="003A07E6">
        <w:rPr>
          <w:sz w:val="22"/>
          <w:szCs w:val="22"/>
        </w:rPr>
        <w:t>____________________________</w:t>
      </w:r>
    </w:p>
    <w:p w:rsidR="00456E62" w:rsidRPr="003A07E6" w:rsidRDefault="00225290" w:rsidP="00225290">
      <w:pPr>
        <w:jc w:val="both"/>
        <w:rPr>
          <w:sz w:val="22"/>
          <w:szCs w:val="22"/>
        </w:rPr>
      </w:pPr>
      <w:r w:rsidRPr="003A07E6">
        <w:rPr>
          <w:b/>
          <w:sz w:val="22"/>
          <w:szCs w:val="22"/>
          <w:u w:val="single"/>
        </w:rPr>
        <w:t>Property</w:t>
      </w:r>
      <w:r w:rsidR="00806F0F" w:rsidRPr="003A07E6">
        <w:rPr>
          <w:b/>
          <w:sz w:val="22"/>
          <w:szCs w:val="22"/>
        </w:rPr>
        <w:t>:</w:t>
      </w:r>
      <w:r w:rsidR="00DC1021" w:rsidRPr="003A07E6">
        <w:rPr>
          <w:b/>
          <w:sz w:val="22"/>
          <w:szCs w:val="22"/>
        </w:rPr>
        <w:t xml:space="preserve"> </w:t>
      </w:r>
      <w:r w:rsidR="004C7FB1">
        <w:rPr>
          <w:b/>
          <w:sz w:val="22"/>
          <w:szCs w:val="22"/>
        </w:rPr>
        <w:tab/>
      </w:r>
      <w:r w:rsidRPr="003A07E6">
        <w:rPr>
          <w:sz w:val="22"/>
          <w:szCs w:val="22"/>
        </w:rPr>
        <w:t xml:space="preserve"> A</w:t>
      </w:r>
      <w:r w:rsidR="00DC1021" w:rsidRPr="003A07E6">
        <w:rPr>
          <w:b/>
          <w:sz w:val="22"/>
          <w:szCs w:val="22"/>
        </w:rPr>
        <w:t xml:space="preserve"> </w:t>
      </w:r>
      <w:r w:rsidR="00C156F8" w:rsidRPr="003A07E6">
        <w:rPr>
          <w:sz w:val="22"/>
          <w:szCs w:val="22"/>
        </w:rPr>
        <w:t xml:space="preserve">+/- </w:t>
      </w:r>
      <w:r w:rsidR="00853FB8" w:rsidRPr="003A07E6">
        <w:rPr>
          <w:sz w:val="22"/>
          <w:szCs w:val="22"/>
        </w:rPr>
        <w:t>_______________</w:t>
      </w:r>
      <w:r w:rsidR="00C156F8" w:rsidRPr="003A07E6">
        <w:rPr>
          <w:sz w:val="22"/>
          <w:szCs w:val="22"/>
        </w:rPr>
        <w:t xml:space="preserve"> square foot</w:t>
      </w:r>
      <w:r w:rsidR="00853FB8" w:rsidRPr="003A07E6">
        <w:rPr>
          <w:sz w:val="22"/>
          <w:szCs w:val="22"/>
        </w:rPr>
        <w:t xml:space="preserve"> portion of the unimproved real property totaling __ acres, identified as Assessor’s Parcel Number ____________________ as shown the attached Exhibit “A”.  A full legal description of the Property shall be prepared by Seller</w:t>
      </w:r>
      <w:r w:rsidR="003D1B30" w:rsidRPr="003A07E6">
        <w:rPr>
          <w:sz w:val="22"/>
          <w:szCs w:val="22"/>
        </w:rPr>
        <w:t xml:space="preserve"> and attached to the Purchase and Sale Agreement </w:t>
      </w:r>
      <w:r w:rsidR="00853FB8" w:rsidRPr="003A07E6">
        <w:rPr>
          <w:sz w:val="22"/>
          <w:szCs w:val="22"/>
        </w:rPr>
        <w:t xml:space="preserve">as soon as reasonably practicable, and no event later than Close of Escrow.  </w:t>
      </w:r>
    </w:p>
    <w:p w:rsidR="00806F0F" w:rsidRPr="003A07E6" w:rsidRDefault="00806F0F" w:rsidP="00806F0F">
      <w:pPr>
        <w:rPr>
          <w:b/>
          <w:sz w:val="22"/>
          <w:szCs w:val="22"/>
        </w:rPr>
      </w:pPr>
    </w:p>
    <w:p w:rsidR="00C156F8" w:rsidRPr="003A07E6" w:rsidRDefault="00BC105B" w:rsidP="00806F0F">
      <w:pPr>
        <w:rPr>
          <w:sz w:val="22"/>
          <w:szCs w:val="22"/>
        </w:rPr>
      </w:pPr>
      <w:r w:rsidRPr="003A07E6">
        <w:rPr>
          <w:b/>
          <w:sz w:val="22"/>
          <w:szCs w:val="22"/>
          <w:u w:val="single"/>
        </w:rPr>
        <w:t>Purchase Price</w:t>
      </w:r>
      <w:r w:rsidRPr="003A07E6">
        <w:rPr>
          <w:b/>
          <w:sz w:val="22"/>
          <w:szCs w:val="22"/>
        </w:rPr>
        <w:t xml:space="preserve">:  </w:t>
      </w:r>
      <w:r w:rsidR="004C7FB1">
        <w:rPr>
          <w:b/>
          <w:sz w:val="22"/>
          <w:szCs w:val="22"/>
        </w:rPr>
        <w:tab/>
      </w:r>
      <w:r w:rsidR="00853FB8" w:rsidRPr="003A07E6">
        <w:rPr>
          <w:sz w:val="22"/>
          <w:szCs w:val="22"/>
        </w:rPr>
        <w:t>_______________________</w:t>
      </w:r>
      <w:r w:rsidR="00225290" w:rsidRPr="003A07E6">
        <w:rPr>
          <w:sz w:val="22"/>
          <w:szCs w:val="22"/>
        </w:rPr>
        <w:t xml:space="preserve"> (</w:t>
      </w:r>
      <w:r w:rsidRPr="003A07E6">
        <w:rPr>
          <w:sz w:val="22"/>
          <w:szCs w:val="22"/>
        </w:rPr>
        <w:t>$</w:t>
      </w:r>
      <w:r w:rsidR="00853FB8" w:rsidRPr="003A07E6">
        <w:rPr>
          <w:sz w:val="22"/>
          <w:szCs w:val="22"/>
        </w:rPr>
        <w:t>___________</w:t>
      </w:r>
      <w:r w:rsidR="00225290" w:rsidRPr="003A07E6">
        <w:rPr>
          <w:sz w:val="22"/>
          <w:szCs w:val="22"/>
        </w:rPr>
        <w:t>)</w:t>
      </w:r>
      <w:r w:rsidR="00853FB8" w:rsidRPr="003A07E6">
        <w:rPr>
          <w:sz w:val="22"/>
          <w:szCs w:val="22"/>
        </w:rPr>
        <w:t xml:space="preserve"> to be paid all cash prior at Close of Escrow.</w:t>
      </w:r>
    </w:p>
    <w:p w:rsidR="00C156F8" w:rsidRPr="003A07E6" w:rsidRDefault="00C156F8" w:rsidP="00806F0F">
      <w:pPr>
        <w:rPr>
          <w:sz w:val="22"/>
          <w:szCs w:val="22"/>
        </w:rPr>
      </w:pPr>
    </w:p>
    <w:p w:rsidR="0059370E" w:rsidRPr="003A07E6" w:rsidRDefault="0059370E" w:rsidP="003D1B30">
      <w:pPr>
        <w:jc w:val="both"/>
        <w:rPr>
          <w:sz w:val="22"/>
          <w:szCs w:val="22"/>
        </w:rPr>
      </w:pPr>
      <w:r w:rsidRPr="003A07E6">
        <w:rPr>
          <w:b/>
          <w:sz w:val="22"/>
          <w:szCs w:val="22"/>
          <w:u w:val="single"/>
        </w:rPr>
        <w:t>Delivery of PSA</w:t>
      </w:r>
      <w:r w:rsidRPr="003A07E6">
        <w:rPr>
          <w:sz w:val="22"/>
          <w:szCs w:val="22"/>
        </w:rPr>
        <w:t xml:space="preserve">:  </w:t>
      </w:r>
      <w:r w:rsidR="003D1B30" w:rsidRPr="003A07E6">
        <w:rPr>
          <w:sz w:val="22"/>
          <w:szCs w:val="22"/>
        </w:rPr>
        <w:t>Seller shall endeavor to deliver the draft Purchase and Sale Agreement within</w:t>
      </w:r>
      <w:r w:rsidRPr="003A07E6">
        <w:rPr>
          <w:sz w:val="22"/>
          <w:szCs w:val="22"/>
        </w:rPr>
        <w:t xml:space="preserve"> five (5) business days of the execution of this </w:t>
      </w:r>
      <w:proofErr w:type="spellStart"/>
      <w:r w:rsidRPr="003A07E6">
        <w:rPr>
          <w:sz w:val="22"/>
          <w:szCs w:val="22"/>
        </w:rPr>
        <w:t>LOI</w:t>
      </w:r>
      <w:proofErr w:type="spellEnd"/>
      <w:r w:rsidRPr="003A07E6">
        <w:rPr>
          <w:sz w:val="22"/>
          <w:szCs w:val="22"/>
        </w:rPr>
        <w:t xml:space="preserve"> for Buyer’s review and approval.  </w:t>
      </w:r>
      <w:r w:rsidR="003D1B30" w:rsidRPr="003A07E6">
        <w:rPr>
          <w:sz w:val="22"/>
          <w:szCs w:val="22"/>
        </w:rPr>
        <w:t xml:space="preserve">Buyer shall endeavor to respond to the draft Purchase and Sale Agreement within five (5) business days.  </w:t>
      </w:r>
      <w:r w:rsidRPr="003A07E6">
        <w:rPr>
          <w:sz w:val="22"/>
          <w:szCs w:val="22"/>
        </w:rPr>
        <w:t xml:space="preserve">Until such time as the parties to the </w:t>
      </w:r>
      <w:r w:rsidR="0085051E">
        <w:rPr>
          <w:sz w:val="22"/>
          <w:szCs w:val="22"/>
        </w:rPr>
        <w:t>Purchase and Sale Agreement</w:t>
      </w:r>
      <w:r w:rsidRPr="003A07E6">
        <w:rPr>
          <w:sz w:val="22"/>
          <w:szCs w:val="22"/>
        </w:rPr>
        <w:t xml:space="preserve"> </w:t>
      </w:r>
      <w:r w:rsidR="003D1B30" w:rsidRPr="003A07E6">
        <w:rPr>
          <w:sz w:val="22"/>
          <w:szCs w:val="22"/>
        </w:rPr>
        <w:t xml:space="preserve">fully </w:t>
      </w:r>
      <w:r w:rsidRPr="003A07E6">
        <w:rPr>
          <w:sz w:val="22"/>
          <w:szCs w:val="22"/>
        </w:rPr>
        <w:t xml:space="preserve">execute the same, neither party is obligated to each other with regard to this transaction.  </w:t>
      </w:r>
      <w:r w:rsidR="00EC4FFE" w:rsidRPr="003A07E6">
        <w:rPr>
          <w:sz w:val="22"/>
          <w:szCs w:val="22"/>
        </w:rPr>
        <w:t>The Effective Date shall be the date all parties to the Purchase and Sale Agreement have executed the same and delivered such consents to the other party.</w:t>
      </w:r>
    </w:p>
    <w:p w:rsidR="0059370E" w:rsidRPr="003A07E6" w:rsidRDefault="0059370E" w:rsidP="00806F0F">
      <w:pPr>
        <w:rPr>
          <w:sz w:val="22"/>
          <w:szCs w:val="22"/>
        </w:rPr>
      </w:pPr>
    </w:p>
    <w:p w:rsidR="00E779D4" w:rsidRPr="003A07E6" w:rsidRDefault="00C156F8" w:rsidP="00DC1021">
      <w:pPr>
        <w:jc w:val="both"/>
        <w:rPr>
          <w:sz w:val="22"/>
          <w:szCs w:val="22"/>
        </w:rPr>
      </w:pPr>
      <w:r w:rsidRPr="003A07E6">
        <w:rPr>
          <w:b/>
          <w:sz w:val="22"/>
          <w:szCs w:val="22"/>
          <w:u w:val="single"/>
        </w:rPr>
        <w:t>Deposit</w:t>
      </w:r>
      <w:r w:rsidRPr="003A07E6">
        <w:rPr>
          <w:sz w:val="22"/>
          <w:szCs w:val="22"/>
        </w:rPr>
        <w:t xml:space="preserve">:  </w:t>
      </w:r>
      <w:r w:rsidR="001D10E9" w:rsidRPr="003A07E6">
        <w:rPr>
          <w:sz w:val="22"/>
          <w:szCs w:val="22"/>
        </w:rPr>
        <w:t xml:space="preserve">Within </w:t>
      </w:r>
      <w:r w:rsidR="0059370E" w:rsidRPr="003A07E6">
        <w:rPr>
          <w:sz w:val="22"/>
          <w:szCs w:val="22"/>
        </w:rPr>
        <w:t>three (</w:t>
      </w:r>
      <w:r w:rsidR="001D10E9" w:rsidRPr="003A07E6">
        <w:rPr>
          <w:sz w:val="22"/>
          <w:szCs w:val="22"/>
        </w:rPr>
        <w:t>3</w:t>
      </w:r>
      <w:r w:rsidR="0059370E" w:rsidRPr="003A07E6">
        <w:rPr>
          <w:sz w:val="22"/>
          <w:szCs w:val="22"/>
        </w:rPr>
        <w:t>)</w:t>
      </w:r>
      <w:r w:rsidR="001D10E9" w:rsidRPr="003A07E6">
        <w:rPr>
          <w:sz w:val="22"/>
          <w:szCs w:val="22"/>
        </w:rPr>
        <w:t xml:space="preserve"> business days after the execution of </w:t>
      </w:r>
      <w:r w:rsidR="0059370E" w:rsidRPr="003A07E6">
        <w:rPr>
          <w:sz w:val="22"/>
          <w:szCs w:val="22"/>
        </w:rPr>
        <w:t xml:space="preserve">the Purchase and Sale Agreement, </w:t>
      </w:r>
      <w:r w:rsidR="001D10E9" w:rsidRPr="003A07E6">
        <w:rPr>
          <w:sz w:val="22"/>
          <w:szCs w:val="22"/>
        </w:rPr>
        <w:t xml:space="preserve">by </w:t>
      </w:r>
      <w:r w:rsidR="0085051E">
        <w:rPr>
          <w:sz w:val="22"/>
          <w:szCs w:val="22"/>
        </w:rPr>
        <w:t>both</w:t>
      </w:r>
      <w:r w:rsidR="001D10E9" w:rsidRPr="003A07E6">
        <w:rPr>
          <w:sz w:val="22"/>
          <w:szCs w:val="22"/>
        </w:rPr>
        <w:t xml:space="preserve"> Buyer and Seller, and execution by First American Title Insurance Company (the “</w:t>
      </w:r>
      <w:r w:rsidR="001D10E9" w:rsidRPr="003A07E6">
        <w:rPr>
          <w:b/>
          <w:sz w:val="22"/>
          <w:szCs w:val="22"/>
        </w:rPr>
        <w:t>Escrow Holder</w:t>
      </w:r>
      <w:r w:rsidR="001D10E9" w:rsidRPr="003A07E6">
        <w:rPr>
          <w:sz w:val="22"/>
          <w:szCs w:val="22"/>
        </w:rPr>
        <w:t xml:space="preserve">”) of the Acceptance By Escrow Holder attached </w:t>
      </w:r>
      <w:r w:rsidR="003D1B30" w:rsidRPr="003A07E6">
        <w:rPr>
          <w:sz w:val="22"/>
          <w:szCs w:val="22"/>
        </w:rPr>
        <w:t>to the Purchase and Sale Agreement</w:t>
      </w:r>
      <w:r w:rsidR="001D10E9" w:rsidRPr="003A07E6">
        <w:rPr>
          <w:sz w:val="22"/>
          <w:szCs w:val="22"/>
        </w:rPr>
        <w:t xml:space="preserve"> (the date of execution of the Acceptance By Escrow Holder by the Escrow Holder may be referred to as the “</w:t>
      </w:r>
      <w:r w:rsidR="001D10E9" w:rsidRPr="003A07E6">
        <w:rPr>
          <w:b/>
          <w:sz w:val="22"/>
          <w:szCs w:val="22"/>
        </w:rPr>
        <w:t>Opening of Escrow</w:t>
      </w:r>
      <w:r w:rsidR="001D10E9" w:rsidRPr="003A07E6">
        <w:rPr>
          <w:sz w:val="22"/>
          <w:szCs w:val="22"/>
        </w:rPr>
        <w:t xml:space="preserve">”), Buyer shall deposit with the Escrow Holder the sum of </w:t>
      </w:r>
      <w:r w:rsidR="003D1B30" w:rsidRPr="003A07E6">
        <w:rPr>
          <w:sz w:val="22"/>
          <w:szCs w:val="22"/>
        </w:rPr>
        <w:t>__________</w:t>
      </w:r>
      <w:r w:rsidR="001D10E9" w:rsidRPr="003A07E6">
        <w:rPr>
          <w:sz w:val="22"/>
          <w:szCs w:val="22"/>
        </w:rPr>
        <w:t xml:space="preserve"> Thousand Dollars and 00/100 ($</w:t>
      </w:r>
      <w:r w:rsidR="003D1B30" w:rsidRPr="003A07E6">
        <w:rPr>
          <w:sz w:val="22"/>
          <w:szCs w:val="22"/>
        </w:rPr>
        <w:t>__</w:t>
      </w:r>
      <w:r w:rsidR="001D10E9" w:rsidRPr="003A07E6">
        <w:rPr>
          <w:sz w:val="22"/>
          <w:szCs w:val="22"/>
        </w:rPr>
        <w:t xml:space="preserve">,000.00) (the </w:t>
      </w:r>
      <w:r w:rsidR="001D10E9" w:rsidRPr="003A07E6">
        <w:rPr>
          <w:b/>
          <w:sz w:val="22"/>
          <w:szCs w:val="22"/>
        </w:rPr>
        <w:t>“Initial Deposit”</w:t>
      </w:r>
      <w:r w:rsidR="001D10E9" w:rsidRPr="003A07E6">
        <w:rPr>
          <w:sz w:val="22"/>
          <w:szCs w:val="22"/>
        </w:rPr>
        <w:t xml:space="preserve">) by wire transfer.  </w:t>
      </w:r>
      <w:r w:rsidR="003D1B30" w:rsidRPr="003A07E6">
        <w:rPr>
          <w:sz w:val="22"/>
          <w:szCs w:val="22"/>
        </w:rPr>
        <w:t xml:space="preserve">If Buyer </w:t>
      </w:r>
      <w:r w:rsidR="003D1B30" w:rsidRPr="003A07E6">
        <w:rPr>
          <w:sz w:val="22"/>
          <w:szCs w:val="22"/>
        </w:rPr>
        <w:t xml:space="preserve">does not terminate the Purchase and Sale Agreement in writing prior to the expiration of the Inspection Period, </w:t>
      </w:r>
      <w:r w:rsidR="003D1B30" w:rsidRPr="003A07E6">
        <w:rPr>
          <w:sz w:val="22"/>
          <w:szCs w:val="22"/>
        </w:rPr>
        <w:t xml:space="preserve"> then within two (2) business days after the expiration of the Inspection Period, Buyer shall deposit with the Escrow Holder an additional</w:t>
      </w:r>
      <w:r w:rsidR="00CC5FFB" w:rsidRPr="003A07E6">
        <w:rPr>
          <w:sz w:val="22"/>
          <w:szCs w:val="22"/>
        </w:rPr>
        <w:t xml:space="preserve"> ______</w:t>
      </w:r>
      <w:r w:rsidR="003D1B30" w:rsidRPr="003A07E6">
        <w:rPr>
          <w:sz w:val="22"/>
          <w:szCs w:val="22"/>
        </w:rPr>
        <w:t xml:space="preserve"> Thousand Dollars and 00/100 ($</w:t>
      </w:r>
      <w:r w:rsidR="00EC4FFE" w:rsidRPr="003A07E6">
        <w:rPr>
          <w:sz w:val="22"/>
          <w:szCs w:val="22"/>
        </w:rPr>
        <w:t>__,</w:t>
      </w:r>
      <w:r w:rsidR="003D1B30" w:rsidRPr="003A07E6">
        <w:rPr>
          <w:sz w:val="22"/>
          <w:szCs w:val="22"/>
        </w:rPr>
        <w:t>000.00) in the form of a wire transfer, which will be held in the Escrow Account (the “</w:t>
      </w:r>
      <w:r w:rsidR="003D1B30" w:rsidRPr="003A07E6">
        <w:rPr>
          <w:b/>
          <w:sz w:val="22"/>
          <w:szCs w:val="22"/>
        </w:rPr>
        <w:t>Additional Deposit</w:t>
      </w:r>
      <w:r w:rsidR="003D1B30" w:rsidRPr="003A07E6">
        <w:rPr>
          <w:sz w:val="22"/>
          <w:szCs w:val="22"/>
        </w:rPr>
        <w:t>”).  The Initial Deposit, the Additional Deposit and all accrued interest thereon shall be known collectively as the “</w:t>
      </w:r>
      <w:r w:rsidR="003D1B30" w:rsidRPr="003A07E6">
        <w:rPr>
          <w:b/>
          <w:sz w:val="22"/>
          <w:szCs w:val="22"/>
        </w:rPr>
        <w:t>Deposit</w:t>
      </w:r>
      <w:r w:rsidR="003D1B30" w:rsidRPr="003A07E6">
        <w:rPr>
          <w:sz w:val="22"/>
          <w:szCs w:val="22"/>
        </w:rPr>
        <w:t xml:space="preserve">”.  </w:t>
      </w:r>
      <w:r w:rsidR="00A53329" w:rsidRPr="003A07E6">
        <w:rPr>
          <w:sz w:val="22"/>
          <w:szCs w:val="22"/>
        </w:rPr>
        <w:t>The Deposit shall be applicable towards the Purchase Price.</w:t>
      </w:r>
    </w:p>
    <w:p w:rsidR="00A53329" w:rsidRPr="003A07E6" w:rsidRDefault="00A53329" w:rsidP="00DC1021">
      <w:pPr>
        <w:jc w:val="both"/>
        <w:rPr>
          <w:sz w:val="22"/>
          <w:szCs w:val="22"/>
        </w:rPr>
      </w:pPr>
    </w:p>
    <w:p w:rsidR="00A53329" w:rsidRPr="003A07E6" w:rsidRDefault="00A53329" w:rsidP="00DC1021">
      <w:pPr>
        <w:jc w:val="both"/>
        <w:rPr>
          <w:sz w:val="22"/>
          <w:szCs w:val="22"/>
        </w:rPr>
      </w:pPr>
    </w:p>
    <w:p w:rsidR="00E779D4" w:rsidRPr="003A07E6" w:rsidRDefault="00E779D4" w:rsidP="00DC1021">
      <w:pPr>
        <w:jc w:val="both"/>
        <w:rPr>
          <w:sz w:val="22"/>
          <w:szCs w:val="22"/>
        </w:rPr>
      </w:pPr>
      <w:r w:rsidRPr="003A07E6">
        <w:rPr>
          <w:b/>
          <w:sz w:val="22"/>
          <w:szCs w:val="22"/>
          <w:u w:val="single"/>
        </w:rPr>
        <w:t>Escrow</w:t>
      </w:r>
      <w:r w:rsidRPr="003A07E6">
        <w:rPr>
          <w:sz w:val="22"/>
          <w:szCs w:val="22"/>
        </w:rPr>
        <w:t xml:space="preserve">:  Within </w:t>
      </w:r>
      <w:r w:rsidR="0085051E">
        <w:rPr>
          <w:sz w:val="22"/>
          <w:szCs w:val="22"/>
        </w:rPr>
        <w:t>two</w:t>
      </w:r>
      <w:r w:rsidRPr="003A07E6">
        <w:rPr>
          <w:sz w:val="22"/>
          <w:szCs w:val="22"/>
        </w:rPr>
        <w:t xml:space="preserve"> (</w:t>
      </w:r>
      <w:r w:rsidR="0085051E">
        <w:rPr>
          <w:sz w:val="22"/>
          <w:szCs w:val="22"/>
        </w:rPr>
        <w:t>2</w:t>
      </w:r>
      <w:r w:rsidRPr="003A07E6">
        <w:rPr>
          <w:sz w:val="22"/>
          <w:szCs w:val="22"/>
        </w:rPr>
        <w:t>)</w:t>
      </w:r>
      <w:r w:rsidR="0016551C" w:rsidRPr="003A07E6">
        <w:rPr>
          <w:sz w:val="22"/>
          <w:szCs w:val="22"/>
        </w:rPr>
        <w:t xml:space="preserve"> days following the Effective Date</w:t>
      </w:r>
      <w:r w:rsidRPr="003A07E6">
        <w:rPr>
          <w:sz w:val="22"/>
          <w:szCs w:val="22"/>
        </w:rPr>
        <w:t xml:space="preserve">, escrow </w:t>
      </w:r>
      <w:r w:rsidR="0016551C" w:rsidRPr="003A07E6">
        <w:rPr>
          <w:sz w:val="22"/>
          <w:szCs w:val="22"/>
        </w:rPr>
        <w:t xml:space="preserve">shall be opened </w:t>
      </w:r>
      <w:r w:rsidRPr="003A07E6">
        <w:rPr>
          <w:sz w:val="22"/>
          <w:szCs w:val="22"/>
        </w:rPr>
        <w:t xml:space="preserve">(the “Escrow”) with </w:t>
      </w:r>
      <w:r w:rsidR="00A53329" w:rsidRPr="003A07E6">
        <w:rPr>
          <w:sz w:val="22"/>
          <w:szCs w:val="22"/>
        </w:rPr>
        <w:t>First American Title Company, Attention: Diane Burton, 4750 Willow Road, Suite 100, Pleasanton, CA</w:t>
      </w:r>
      <w:r w:rsidR="0085051E">
        <w:rPr>
          <w:sz w:val="22"/>
          <w:szCs w:val="22"/>
        </w:rPr>
        <w:t>,</w:t>
      </w:r>
      <w:r w:rsidR="00A53329" w:rsidRPr="003A07E6">
        <w:rPr>
          <w:sz w:val="22"/>
          <w:szCs w:val="22"/>
        </w:rPr>
        <w:t xml:space="preserve"> 94588</w:t>
      </w:r>
      <w:r w:rsidRPr="003A07E6">
        <w:rPr>
          <w:sz w:val="22"/>
          <w:szCs w:val="22"/>
        </w:rPr>
        <w:t xml:space="preserve"> (“Escrow Holder”)</w:t>
      </w:r>
      <w:r w:rsidR="005A2121" w:rsidRPr="003A07E6">
        <w:rPr>
          <w:sz w:val="22"/>
          <w:szCs w:val="22"/>
        </w:rPr>
        <w:t>.</w:t>
      </w:r>
    </w:p>
    <w:p w:rsidR="00EC4FFE" w:rsidRPr="003A07E6" w:rsidRDefault="00E779D4" w:rsidP="00E779D4">
      <w:pPr>
        <w:tabs>
          <w:tab w:val="left" w:pos="3060"/>
        </w:tabs>
        <w:jc w:val="both"/>
        <w:rPr>
          <w:sz w:val="22"/>
          <w:szCs w:val="22"/>
        </w:rPr>
      </w:pPr>
      <w:r w:rsidRPr="003A07E6">
        <w:rPr>
          <w:sz w:val="22"/>
          <w:szCs w:val="22"/>
        </w:rPr>
        <w:tab/>
      </w:r>
      <w:r w:rsidR="00806F0F" w:rsidRPr="003A07E6">
        <w:rPr>
          <w:sz w:val="22"/>
          <w:szCs w:val="22"/>
        </w:rPr>
        <w:br/>
      </w:r>
      <w:r w:rsidR="00BC105B" w:rsidRPr="003A07E6">
        <w:rPr>
          <w:b/>
          <w:sz w:val="22"/>
          <w:szCs w:val="22"/>
          <w:u w:val="single"/>
        </w:rPr>
        <w:t>Due Diligence Period</w:t>
      </w:r>
      <w:r w:rsidR="00BC105B" w:rsidRPr="003A07E6">
        <w:rPr>
          <w:b/>
          <w:sz w:val="22"/>
          <w:szCs w:val="22"/>
        </w:rPr>
        <w:t xml:space="preserve">:  </w:t>
      </w:r>
      <w:r w:rsidR="00A53329" w:rsidRPr="003A07E6">
        <w:rPr>
          <w:sz w:val="22"/>
          <w:szCs w:val="22"/>
        </w:rPr>
        <w:t>Buyer shall have until 5:00 p.m. Pacific Time one hundred twenty (120) days after the Opening of Escrow (the “</w:t>
      </w:r>
      <w:r w:rsidR="00A53329" w:rsidRPr="003A07E6">
        <w:rPr>
          <w:b/>
          <w:sz w:val="22"/>
          <w:szCs w:val="22"/>
        </w:rPr>
        <w:t>Inspection Period</w:t>
      </w:r>
      <w:r w:rsidR="00A53329" w:rsidRPr="003A07E6">
        <w:rPr>
          <w:sz w:val="22"/>
          <w:szCs w:val="22"/>
        </w:rPr>
        <w:t>”), to perform its due diligence review of the Property</w:t>
      </w:r>
      <w:r w:rsidR="00EC4FFE" w:rsidRPr="003A07E6">
        <w:rPr>
          <w:sz w:val="22"/>
          <w:szCs w:val="22"/>
        </w:rPr>
        <w:t xml:space="preserve"> including, but not limited to environmental contingencies</w:t>
      </w:r>
      <w:r w:rsidR="00A53329" w:rsidRPr="003A07E6">
        <w:rPr>
          <w:sz w:val="22"/>
          <w:szCs w:val="22"/>
        </w:rPr>
        <w:t>, which may include, but not be limited to, the right of Buyer to physically inspect the Property and review the “</w:t>
      </w:r>
      <w:r w:rsidR="00A53329" w:rsidRPr="003A07E6">
        <w:rPr>
          <w:b/>
          <w:sz w:val="22"/>
          <w:szCs w:val="22"/>
        </w:rPr>
        <w:t>Investigation Materials</w:t>
      </w:r>
      <w:r w:rsidR="00A53329" w:rsidRPr="003A07E6">
        <w:rPr>
          <w:sz w:val="22"/>
          <w:szCs w:val="22"/>
        </w:rPr>
        <w:t>”</w:t>
      </w:r>
      <w:r w:rsidR="00A53329" w:rsidRPr="003A07E6">
        <w:rPr>
          <w:sz w:val="22"/>
          <w:szCs w:val="22"/>
        </w:rPr>
        <w:t xml:space="preserve"> defined in the Purchase and Sale Agreemen</w:t>
      </w:r>
      <w:r w:rsidR="00EC4FFE" w:rsidRPr="003A07E6">
        <w:rPr>
          <w:sz w:val="22"/>
          <w:szCs w:val="22"/>
        </w:rPr>
        <w:t xml:space="preserve">t. </w:t>
      </w:r>
    </w:p>
    <w:p w:rsidR="00EC4FFE" w:rsidRPr="003A07E6" w:rsidRDefault="00EC4FFE" w:rsidP="00E779D4">
      <w:pPr>
        <w:tabs>
          <w:tab w:val="left" w:pos="3060"/>
        </w:tabs>
        <w:jc w:val="both"/>
        <w:rPr>
          <w:sz w:val="22"/>
          <w:szCs w:val="22"/>
        </w:rPr>
      </w:pPr>
    </w:p>
    <w:p w:rsidR="00EC4FFE" w:rsidRPr="003A07E6" w:rsidRDefault="00EC4FFE" w:rsidP="00E779D4">
      <w:pPr>
        <w:tabs>
          <w:tab w:val="left" w:pos="3060"/>
        </w:tabs>
        <w:jc w:val="both"/>
        <w:rPr>
          <w:sz w:val="22"/>
          <w:szCs w:val="22"/>
        </w:rPr>
      </w:pPr>
      <w:r w:rsidRPr="003A07E6">
        <w:rPr>
          <w:b/>
          <w:sz w:val="22"/>
          <w:szCs w:val="22"/>
          <w:u w:val="single"/>
        </w:rPr>
        <w:t>Entitlement Contingency</w:t>
      </w:r>
      <w:r w:rsidRPr="003A07E6">
        <w:rPr>
          <w:sz w:val="22"/>
          <w:szCs w:val="22"/>
        </w:rPr>
        <w:t xml:space="preserve">.   </w:t>
      </w:r>
      <w:r w:rsidRPr="003A07E6">
        <w:rPr>
          <w:sz w:val="22"/>
          <w:szCs w:val="22"/>
        </w:rPr>
        <w:t>Buyer must receive all</w:t>
      </w:r>
      <w:r w:rsidRPr="003A07E6">
        <w:rPr>
          <w:b/>
          <w:sz w:val="22"/>
          <w:szCs w:val="22"/>
        </w:rPr>
        <w:t xml:space="preserve"> </w:t>
      </w:r>
      <w:r w:rsidRPr="003A07E6">
        <w:rPr>
          <w:sz w:val="22"/>
          <w:szCs w:val="22"/>
        </w:rPr>
        <w:t>Governmental Approvals</w:t>
      </w:r>
      <w:r w:rsidRPr="003A07E6">
        <w:rPr>
          <w:sz w:val="22"/>
          <w:szCs w:val="22"/>
        </w:rPr>
        <w:t xml:space="preserve"> prior to Close of Escrow</w:t>
      </w:r>
      <w:r w:rsidRPr="003A07E6">
        <w:rPr>
          <w:b/>
          <w:sz w:val="22"/>
          <w:szCs w:val="22"/>
        </w:rPr>
        <w:t xml:space="preserve">.  </w:t>
      </w:r>
      <w:r w:rsidRPr="003A07E6">
        <w:rPr>
          <w:sz w:val="22"/>
          <w:szCs w:val="22"/>
        </w:rPr>
        <w:t>Seller agrees to cooperate with Buyer in obtaining the Governmental Approvals.  This contingency expires one hundred eighty (180) days following the expiration of the Inspection Period (the “</w:t>
      </w:r>
      <w:r w:rsidRPr="003A07E6">
        <w:rPr>
          <w:b/>
          <w:sz w:val="22"/>
          <w:szCs w:val="22"/>
        </w:rPr>
        <w:t>Entitlement Period</w:t>
      </w:r>
      <w:r w:rsidRPr="003A07E6">
        <w:rPr>
          <w:sz w:val="22"/>
          <w:szCs w:val="22"/>
        </w:rPr>
        <w:t>”)</w:t>
      </w:r>
      <w:r w:rsidR="00E74D7F" w:rsidRPr="003A07E6">
        <w:rPr>
          <w:sz w:val="22"/>
          <w:szCs w:val="22"/>
        </w:rPr>
        <w:t xml:space="preserve">.  </w:t>
      </w:r>
      <w:r w:rsidRPr="003A07E6">
        <w:rPr>
          <w:sz w:val="22"/>
          <w:szCs w:val="22"/>
        </w:rPr>
        <w:t>The Governmental Approvals contingency shall be deemed complete and waived by Buyer when the City of Lathrop has approved all entitlements in writing.  At the expiration and/or waiver of this Governmental Approvals contingency,</w:t>
      </w:r>
      <w:r w:rsidR="000E2B70" w:rsidRPr="003A07E6">
        <w:rPr>
          <w:sz w:val="22"/>
          <w:szCs w:val="22"/>
        </w:rPr>
        <w:t xml:space="preserve"> </w:t>
      </w:r>
      <w:r w:rsidRPr="003A07E6">
        <w:rPr>
          <w:sz w:val="22"/>
          <w:szCs w:val="22"/>
        </w:rPr>
        <w:t>the Deposit, including any additional deposits, shall be deemed non-refundable with no exceptions</w:t>
      </w:r>
      <w:r w:rsidR="000E2B70" w:rsidRPr="003A07E6">
        <w:rPr>
          <w:sz w:val="22"/>
          <w:szCs w:val="22"/>
        </w:rPr>
        <w:t>.</w:t>
      </w:r>
    </w:p>
    <w:p w:rsidR="003A07E6" w:rsidRPr="003A07E6" w:rsidRDefault="003A07E6" w:rsidP="00E779D4">
      <w:pPr>
        <w:tabs>
          <w:tab w:val="left" w:pos="3060"/>
        </w:tabs>
        <w:jc w:val="both"/>
        <w:rPr>
          <w:sz w:val="22"/>
          <w:szCs w:val="22"/>
        </w:rPr>
      </w:pPr>
    </w:p>
    <w:p w:rsidR="003A07E6" w:rsidRPr="003A07E6" w:rsidRDefault="003A07E6" w:rsidP="003A07E6">
      <w:pPr>
        <w:jc w:val="both"/>
        <w:rPr>
          <w:sz w:val="22"/>
          <w:szCs w:val="22"/>
        </w:rPr>
      </w:pPr>
      <w:r w:rsidRPr="003A07E6">
        <w:rPr>
          <w:b/>
          <w:sz w:val="22"/>
          <w:szCs w:val="22"/>
          <w:u w:val="single"/>
        </w:rPr>
        <w:t>Community Facilities District.</w:t>
      </w:r>
      <w:r w:rsidRPr="003A07E6">
        <w:rPr>
          <w:sz w:val="22"/>
          <w:szCs w:val="22"/>
        </w:rPr>
        <w:t xml:space="preserve">  </w:t>
      </w:r>
      <w:r w:rsidRPr="003A07E6">
        <w:rPr>
          <w:sz w:val="22"/>
          <w:szCs w:val="22"/>
        </w:rPr>
        <w:t>Buyer acknowledges and agrees that Seller shall have the right to encumber the Property with a supplemental special tax related to a replacement and/or newly formed Community Facilities District (“</w:t>
      </w:r>
      <w:proofErr w:type="spellStart"/>
      <w:r w:rsidRPr="003A07E6">
        <w:rPr>
          <w:sz w:val="22"/>
          <w:szCs w:val="22"/>
        </w:rPr>
        <w:t>CFD</w:t>
      </w:r>
      <w:proofErr w:type="spellEnd"/>
      <w:r w:rsidRPr="003A07E6">
        <w:rPr>
          <w:sz w:val="22"/>
          <w:szCs w:val="22"/>
        </w:rPr>
        <w:t>”); provided, however, (</w:t>
      </w:r>
      <w:proofErr w:type="spellStart"/>
      <w:r w:rsidRPr="003A07E6">
        <w:rPr>
          <w:sz w:val="22"/>
          <w:szCs w:val="22"/>
        </w:rPr>
        <w:t>i</w:t>
      </w:r>
      <w:proofErr w:type="spellEnd"/>
      <w:r w:rsidRPr="003A07E6">
        <w:rPr>
          <w:sz w:val="22"/>
          <w:szCs w:val="22"/>
        </w:rPr>
        <w:t xml:space="preserve">) Buyer and Seller shall work together, in good faith, during the Inspection Period to understand the scope of the </w:t>
      </w:r>
      <w:proofErr w:type="spellStart"/>
      <w:r w:rsidRPr="003A07E6">
        <w:rPr>
          <w:sz w:val="22"/>
          <w:szCs w:val="22"/>
        </w:rPr>
        <w:t>CFD</w:t>
      </w:r>
      <w:proofErr w:type="spellEnd"/>
      <w:r w:rsidRPr="003A07E6">
        <w:rPr>
          <w:sz w:val="22"/>
          <w:szCs w:val="22"/>
        </w:rPr>
        <w:t xml:space="preserve"> and the associated tax burden on the Property; (ii) Buyer may terminate this Agreement at any time during the Inspection Period if Buyer does not approve of the </w:t>
      </w:r>
      <w:proofErr w:type="spellStart"/>
      <w:r w:rsidRPr="003A07E6">
        <w:rPr>
          <w:sz w:val="22"/>
          <w:szCs w:val="22"/>
        </w:rPr>
        <w:t>CFD</w:t>
      </w:r>
      <w:proofErr w:type="spellEnd"/>
      <w:r w:rsidRPr="003A07E6">
        <w:rPr>
          <w:sz w:val="22"/>
          <w:szCs w:val="22"/>
        </w:rPr>
        <w:t xml:space="preserve"> (or the associated tax burden), and (iii) following the expiration of the Inspection Period, no changes may be made to the </w:t>
      </w:r>
      <w:proofErr w:type="spellStart"/>
      <w:r w:rsidRPr="003A07E6">
        <w:rPr>
          <w:sz w:val="22"/>
          <w:szCs w:val="22"/>
        </w:rPr>
        <w:t>CFD</w:t>
      </w:r>
      <w:proofErr w:type="spellEnd"/>
      <w:r w:rsidRPr="003A07E6">
        <w:rPr>
          <w:sz w:val="22"/>
          <w:szCs w:val="22"/>
        </w:rPr>
        <w:t xml:space="preserve"> or the associated tax burden without Buyer’s consent. </w:t>
      </w:r>
    </w:p>
    <w:p w:rsidR="003A07E6" w:rsidRPr="003A07E6" w:rsidRDefault="003A07E6" w:rsidP="003A07E6">
      <w:pPr>
        <w:jc w:val="both"/>
        <w:rPr>
          <w:sz w:val="22"/>
          <w:szCs w:val="22"/>
        </w:rPr>
      </w:pPr>
    </w:p>
    <w:p w:rsidR="003A07E6" w:rsidRPr="003A07E6" w:rsidRDefault="003A07E6" w:rsidP="003A07E6">
      <w:pPr>
        <w:jc w:val="both"/>
        <w:rPr>
          <w:sz w:val="22"/>
          <w:szCs w:val="22"/>
        </w:rPr>
      </w:pPr>
      <w:r w:rsidRPr="003A07E6">
        <w:rPr>
          <w:b/>
          <w:sz w:val="22"/>
          <w:szCs w:val="22"/>
          <w:u w:val="single"/>
        </w:rPr>
        <w:t>Delivery of Possession Upon Close of Escrow</w:t>
      </w:r>
      <w:r w:rsidRPr="003A07E6">
        <w:rPr>
          <w:sz w:val="22"/>
          <w:szCs w:val="22"/>
        </w:rPr>
        <w:t>.  Possession of the Property will be delivered to Buyer upon Close of Escrow, vacant, with no tenancies or leases.</w:t>
      </w:r>
    </w:p>
    <w:p w:rsidR="00A53329" w:rsidRPr="003A07E6" w:rsidRDefault="00A53329" w:rsidP="00E779D4">
      <w:pPr>
        <w:tabs>
          <w:tab w:val="left" w:pos="3060"/>
        </w:tabs>
        <w:jc w:val="both"/>
        <w:rPr>
          <w:sz w:val="22"/>
          <w:szCs w:val="22"/>
        </w:rPr>
      </w:pPr>
    </w:p>
    <w:p w:rsidR="003A07E6" w:rsidRPr="003A07E6" w:rsidRDefault="00A53329" w:rsidP="00DC1021">
      <w:pPr>
        <w:jc w:val="both"/>
        <w:rPr>
          <w:sz w:val="22"/>
          <w:szCs w:val="22"/>
        </w:rPr>
      </w:pPr>
      <w:r w:rsidRPr="003A07E6">
        <w:rPr>
          <w:b/>
          <w:sz w:val="22"/>
          <w:szCs w:val="22"/>
          <w:u w:val="single"/>
        </w:rPr>
        <w:t>Buyer</w:t>
      </w:r>
      <w:r w:rsidR="00DC1021" w:rsidRPr="003A07E6">
        <w:rPr>
          <w:b/>
          <w:sz w:val="22"/>
          <w:szCs w:val="22"/>
          <w:u w:val="single"/>
        </w:rPr>
        <w:t>’s Inspections</w:t>
      </w:r>
      <w:r w:rsidR="00C156F8" w:rsidRPr="003A07E6">
        <w:rPr>
          <w:b/>
          <w:sz w:val="22"/>
          <w:szCs w:val="22"/>
        </w:rPr>
        <w:t>:</w:t>
      </w:r>
      <w:r w:rsidR="00C156F8" w:rsidRPr="003A07E6">
        <w:rPr>
          <w:sz w:val="22"/>
          <w:szCs w:val="22"/>
        </w:rPr>
        <w:t xml:space="preserve">  </w:t>
      </w:r>
      <w:r w:rsidRPr="003A07E6">
        <w:rPr>
          <w:sz w:val="22"/>
          <w:szCs w:val="22"/>
        </w:rPr>
        <w:t>During the Inspection Period</w:t>
      </w:r>
      <w:r w:rsidR="00B4654C" w:rsidRPr="003A07E6">
        <w:rPr>
          <w:sz w:val="22"/>
          <w:szCs w:val="22"/>
        </w:rPr>
        <w:t xml:space="preserve">, </w:t>
      </w:r>
      <w:r w:rsidRPr="003A07E6">
        <w:rPr>
          <w:sz w:val="22"/>
          <w:szCs w:val="22"/>
        </w:rPr>
        <w:t>Buyer</w:t>
      </w:r>
      <w:r w:rsidR="00B4654C" w:rsidRPr="003A07E6">
        <w:rPr>
          <w:sz w:val="22"/>
          <w:szCs w:val="22"/>
        </w:rPr>
        <w:t xml:space="preserve"> may investigate any and all aspects of the Property related to </w:t>
      </w:r>
      <w:r w:rsidRPr="003A07E6">
        <w:rPr>
          <w:sz w:val="22"/>
          <w:szCs w:val="22"/>
        </w:rPr>
        <w:t>Buyer’s</w:t>
      </w:r>
      <w:r w:rsidR="00B4654C" w:rsidRPr="003A07E6">
        <w:rPr>
          <w:sz w:val="22"/>
          <w:szCs w:val="22"/>
        </w:rPr>
        <w:t xml:space="preserve"> intended use of the Property deemed relevant by </w:t>
      </w:r>
      <w:r w:rsidRPr="003A07E6">
        <w:rPr>
          <w:sz w:val="22"/>
          <w:szCs w:val="22"/>
        </w:rPr>
        <w:t>Buyer</w:t>
      </w:r>
      <w:r w:rsidR="00B4654C" w:rsidRPr="003A07E6">
        <w:rPr>
          <w:sz w:val="22"/>
          <w:szCs w:val="22"/>
        </w:rPr>
        <w:t xml:space="preserve">, in its sole and absolute discretion.  </w:t>
      </w:r>
      <w:r w:rsidRPr="003A07E6">
        <w:rPr>
          <w:sz w:val="22"/>
          <w:szCs w:val="22"/>
        </w:rPr>
        <w:t>Buyer</w:t>
      </w:r>
      <w:r w:rsidR="00B4654C" w:rsidRPr="003A07E6">
        <w:rPr>
          <w:sz w:val="22"/>
          <w:szCs w:val="22"/>
        </w:rPr>
        <w:t xml:space="preserve"> shall conduct such investigation and due diligence at its sole cost and expense and upon the terms a</w:t>
      </w:r>
      <w:r w:rsidR="00DC1021" w:rsidRPr="003A07E6">
        <w:rPr>
          <w:sz w:val="22"/>
          <w:szCs w:val="22"/>
        </w:rPr>
        <w:t>nd conditions specified in the Purchase Agreement.</w:t>
      </w:r>
      <w:r w:rsidR="00B4654C" w:rsidRPr="003A07E6">
        <w:rPr>
          <w:sz w:val="22"/>
          <w:szCs w:val="22"/>
        </w:rPr>
        <w:t xml:space="preserve">  </w:t>
      </w:r>
      <w:r w:rsidR="004C7FB1">
        <w:rPr>
          <w:sz w:val="22"/>
          <w:szCs w:val="22"/>
        </w:rPr>
        <w:t>Other than as set forth in the Purchase and Sale Agreement, Seller offers the Property in “AS-IS” condition with no representation or warranties.</w:t>
      </w:r>
    </w:p>
    <w:p w:rsidR="00225290" w:rsidRPr="003A07E6" w:rsidRDefault="00225290" w:rsidP="00DC1021">
      <w:pPr>
        <w:jc w:val="both"/>
        <w:rPr>
          <w:sz w:val="22"/>
          <w:szCs w:val="22"/>
        </w:rPr>
      </w:pPr>
    </w:p>
    <w:p w:rsidR="00A53329" w:rsidRPr="003A07E6" w:rsidRDefault="00BC105B" w:rsidP="000E2B70">
      <w:pPr>
        <w:widowControl w:val="0"/>
        <w:spacing w:before="120" w:after="120"/>
        <w:jc w:val="both"/>
        <w:rPr>
          <w:sz w:val="22"/>
          <w:szCs w:val="22"/>
        </w:rPr>
      </w:pPr>
      <w:r w:rsidRPr="003A07E6">
        <w:rPr>
          <w:b/>
          <w:sz w:val="22"/>
          <w:szCs w:val="22"/>
          <w:u w:val="single"/>
        </w:rPr>
        <w:t>Closing Date</w:t>
      </w:r>
      <w:r w:rsidRPr="003A07E6">
        <w:rPr>
          <w:sz w:val="22"/>
          <w:szCs w:val="22"/>
        </w:rPr>
        <w:t xml:space="preserve">:  </w:t>
      </w:r>
      <w:r w:rsidR="00A53329" w:rsidRPr="003A07E6">
        <w:rPr>
          <w:sz w:val="22"/>
          <w:szCs w:val="22"/>
        </w:rPr>
        <w:t>Subject to satisfaction of all Conditions Precedent, the consummation of the purchase and sale of the Property shall take place in accordance with the terms and conditions contained in this Agreement through the office of the Escrow Holder (the “</w:t>
      </w:r>
      <w:r w:rsidR="00A53329" w:rsidRPr="003A07E6">
        <w:rPr>
          <w:b/>
          <w:sz w:val="22"/>
          <w:szCs w:val="22"/>
        </w:rPr>
        <w:t>Closing</w:t>
      </w:r>
      <w:r w:rsidR="00A53329" w:rsidRPr="003A07E6">
        <w:rPr>
          <w:sz w:val="22"/>
          <w:szCs w:val="22"/>
        </w:rPr>
        <w:t>”) thirty (30) business</w:t>
      </w:r>
      <w:r w:rsidR="00A53329" w:rsidRPr="003A07E6">
        <w:rPr>
          <w:b/>
          <w:sz w:val="22"/>
          <w:szCs w:val="22"/>
        </w:rPr>
        <w:t xml:space="preserve"> </w:t>
      </w:r>
      <w:r w:rsidR="00A53329" w:rsidRPr="003A07E6">
        <w:rPr>
          <w:sz w:val="22"/>
          <w:szCs w:val="22"/>
        </w:rPr>
        <w:t>days after Seller’s tender of a legal parcel (the “</w:t>
      </w:r>
      <w:r w:rsidR="00A53329" w:rsidRPr="003A07E6">
        <w:rPr>
          <w:b/>
          <w:sz w:val="22"/>
          <w:szCs w:val="22"/>
        </w:rPr>
        <w:t>Closing Date</w:t>
      </w:r>
      <w:r w:rsidR="00A53329" w:rsidRPr="003A07E6">
        <w:rPr>
          <w:sz w:val="22"/>
          <w:szCs w:val="22"/>
        </w:rPr>
        <w:t>”).</w:t>
      </w:r>
    </w:p>
    <w:p w:rsidR="00B15E72" w:rsidRPr="003A07E6" w:rsidRDefault="00B15E72" w:rsidP="00806F0F">
      <w:pPr>
        <w:rPr>
          <w:sz w:val="22"/>
          <w:szCs w:val="22"/>
        </w:rPr>
      </w:pPr>
    </w:p>
    <w:p w:rsidR="00B15E72" w:rsidRPr="003A07E6" w:rsidRDefault="00B15E72" w:rsidP="00DC1021">
      <w:pPr>
        <w:jc w:val="both"/>
        <w:rPr>
          <w:sz w:val="22"/>
          <w:szCs w:val="22"/>
        </w:rPr>
      </w:pPr>
      <w:r w:rsidRPr="003A07E6">
        <w:rPr>
          <w:b/>
          <w:sz w:val="22"/>
          <w:szCs w:val="22"/>
          <w:u w:val="single"/>
        </w:rPr>
        <w:t>Closing Costs &amp; Escrow Fees</w:t>
      </w:r>
      <w:r w:rsidRPr="003A07E6">
        <w:rPr>
          <w:sz w:val="22"/>
          <w:szCs w:val="22"/>
        </w:rPr>
        <w:t>:</w:t>
      </w:r>
      <w:r w:rsidR="005D7DFB" w:rsidRPr="003A07E6">
        <w:rPr>
          <w:sz w:val="22"/>
          <w:szCs w:val="22"/>
        </w:rPr>
        <w:t xml:space="preserve"> </w:t>
      </w:r>
      <w:r w:rsidR="00DC1021" w:rsidRPr="003A07E6">
        <w:rPr>
          <w:sz w:val="22"/>
          <w:szCs w:val="22"/>
        </w:rPr>
        <w:t xml:space="preserve"> Seller shall pay one-half (1/2) of the Escrow fee; the premium required to be paid for the </w:t>
      </w:r>
      <w:proofErr w:type="spellStart"/>
      <w:r w:rsidR="00DC1021" w:rsidRPr="003A07E6">
        <w:rPr>
          <w:sz w:val="22"/>
          <w:szCs w:val="22"/>
        </w:rPr>
        <w:t>CLTA</w:t>
      </w:r>
      <w:proofErr w:type="spellEnd"/>
      <w:r w:rsidR="00DC1021" w:rsidRPr="003A07E6">
        <w:rPr>
          <w:sz w:val="22"/>
          <w:szCs w:val="22"/>
        </w:rPr>
        <w:t xml:space="preserve"> standard owner's policy insuring title to the Property in </w:t>
      </w:r>
      <w:r w:rsidR="00A53329" w:rsidRPr="003A07E6">
        <w:rPr>
          <w:sz w:val="22"/>
          <w:szCs w:val="22"/>
        </w:rPr>
        <w:t>Buyer</w:t>
      </w:r>
      <w:r w:rsidR="00DC1021" w:rsidRPr="003A07E6">
        <w:rPr>
          <w:sz w:val="22"/>
          <w:szCs w:val="22"/>
        </w:rPr>
        <w:t xml:space="preserve"> with liability in the amount of the Purchase Price ("Owner's Policy"); one-half (1/2) the recording costs for the Deed and any other documents, and all City and County documentary transfer taxes and conveyancing taxes.  </w:t>
      </w:r>
      <w:r w:rsidR="00A53329" w:rsidRPr="003A07E6">
        <w:rPr>
          <w:sz w:val="22"/>
          <w:szCs w:val="22"/>
        </w:rPr>
        <w:t>Buyer</w:t>
      </w:r>
      <w:r w:rsidR="00DC1021" w:rsidRPr="003A07E6">
        <w:rPr>
          <w:sz w:val="22"/>
          <w:szCs w:val="22"/>
        </w:rPr>
        <w:t xml:space="preserve"> shall pay the cost of all costs above a standard </w:t>
      </w:r>
      <w:proofErr w:type="spellStart"/>
      <w:r w:rsidR="00DC1021" w:rsidRPr="003A07E6">
        <w:rPr>
          <w:sz w:val="22"/>
          <w:szCs w:val="22"/>
        </w:rPr>
        <w:t>CLTA</w:t>
      </w:r>
      <w:proofErr w:type="spellEnd"/>
      <w:r w:rsidR="00DC1021" w:rsidRPr="003A07E6">
        <w:rPr>
          <w:sz w:val="22"/>
          <w:szCs w:val="22"/>
        </w:rPr>
        <w:t xml:space="preserve"> policy for an ALTA policy and any endorsements desired by </w:t>
      </w:r>
      <w:r w:rsidR="00A53329" w:rsidRPr="003A07E6">
        <w:rPr>
          <w:sz w:val="22"/>
          <w:szCs w:val="22"/>
        </w:rPr>
        <w:t>Buyer</w:t>
      </w:r>
      <w:r w:rsidR="00DC1021" w:rsidRPr="003A07E6">
        <w:rPr>
          <w:sz w:val="22"/>
          <w:szCs w:val="22"/>
        </w:rPr>
        <w:t>; and one-half (1/2) of the Escrow fee. All non-delinquent rents, expenses, real estate taxes, assessments and personal property taxes shall be prorated, based on a 365</w:t>
      </w:r>
      <w:r w:rsidR="00DC1021" w:rsidRPr="003A07E6">
        <w:rPr>
          <w:sz w:val="22"/>
          <w:szCs w:val="22"/>
        </w:rPr>
        <w:noBreakHyphen/>
        <w:t xml:space="preserve">day year, as of the date the Deed is recorded with Seller receiving the rent prorations, if any, for the day escrow closes.  All other charges and fees of Escrow shall be apportioned between the parties as is customary in the County of </w:t>
      </w:r>
      <w:r w:rsidR="00A53329" w:rsidRPr="003A07E6">
        <w:rPr>
          <w:sz w:val="22"/>
          <w:szCs w:val="22"/>
        </w:rPr>
        <w:t>San Joaquin</w:t>
      </w:r>
      <w:r w:rsidR="00DC1021" w:rsidRPr="003A07E6">
        <w:rPr>
          <w:sz w:val="22"/>
          <w:szCs w:val="22"/>
        </w:rPr>
        <w:t xml:space="preserve"> (the “County”).  All Escrow costs, fees, charges and brokerage commissions assessable to Seller shall be paid by Title Company out of the proceeds of the Escrow payable to Seller and Title Company shall assume responsibility for such payment as a condition of Escrow</w:t>
      </w:r>
    </w:p>
    <w:p w:rsidR="00B15E72" w:rsidRPr="003A07E6" w:rsidRDefault="00B15E72" w:rsidP="00806F0F">
      <w:pPr>
        <w:rPr>
          <w:sz w:val="22"/>
          <w:szCs w:val="22"/>
        </w:rPr>
      </w:pPr>
    </w:p>
    <w:p w:rsidR="00DC1021" w:rsidRPr="003A07E6" w:rsidRDefault="00806F0F" w:rsidP="00DC1021">
      <w:pPr>
        <w:tabs>
          <w:tab w:val="left" w:pos="600"/>
        </w:tabs>
        <w:ind w:right="-187"/>
        <w:rPr>
          <w:sz w:val="22"/>
          <w:szCs w:val="22"/>
        </w:rPr>
      </w:pPr>
      <w:r w:rsidRPr="003A07E6">
        <w:rPr>
          <w:b/>
          <w:sz w:val="22"/>
          <w:szCs w:val="22"/>
          <w:u w:val="single"/>
        </w:rPr>
        <w:t>Brokerage Commission</w:t>
      </w:r>
      <w:r w:rsidRPr="003A07E6">
        <w:rPr>
          <w:b/>
          <w:sz w:val="22"/>
          <w:szCs w:val="22"/>
        </w:rPr>
        <w:t xml:space="preserve">: </w:t>
      </w:r>
      <w:r w:rsidR="00DC1021" w:rsidRPr="003A07E6">
        <w:rPr>
          <w:sz w:val="22"/>
          <w:szCs w:val="22"/>
        </w:rPr>
        <w:t xml:space="preserve"> </w:t>
      </w:r>
      <w:r w:rsidR="00A53329" w:rsidRPr="003A07E6">
        <w:rPr>
          <w:sz w:val="22"/>
          <w:szCs w:val="22"/>
        </w:rPr>
        <w:t>[insert as applicable]</w:t>
      </w:r>
      <w:r w:rsidR="007865F4" w:rsidRPr="003A07E6">
        <w:rPr>
          <w:sz w:val="22"/>
          <w:szCs w:val="22"/>
        </w:rPr>
        <w:t xml:space="preserve">.  </w:t>
      </w:r>
      <w:r w:rsidR="00DC1021" w:rsidRPr="003A07E6">
        <w:rPr>
          <w:sz w:val="22"/>
          <w:szCs w:val="22"/>
        </w:rPr>
        <w:t xml:space="preserve">  </w:t>
      </w:r>
    </w:p>
    <w:p w:rsidR="00806F0F" w:rsidRPr="003A07E6" w:rsidRDefault="00806F0F" w:rsidP="00DC1021">
      <w:pPr>
        <w:tabs>
          <w:tab w:val="left" w:pos="600"/>
        </w:tabs>
        <w:ind w:right="-187"/>
        <w:rPr>
          <w:sz w:val="22"/>
          <w:szCs w:val="22"/>
        </w:rPr>
      </w:pPr>
      <w:r w:rsidRPr="003A07E6">
        <w:rPr>
          <w:b/>
          <w:sz w:val="22"/>
          <w:szCs w:val="22"/>
        </w:rPr>
        <w:tab/>
      </w:r>
    </w:p>
    <w:p w:rsidR="00806F0F" w:rsidRPr="003A07E6" w:rsidRDefault="00806F0F" w:rsidP="00225290">
      <w:pPr>
        <w:tabs>
          <w:tab w:val="left" w:pos="480"/>
        </w:tabs>
        <w:ind w:right="-187"/>
        <w:jc w:val="both"/>
        <w:rPr>
          <w:iCs/>
          <w:sz w:val="22"/>
          <w:szCs w:val="22"/>
        </w:rPr>
      </w:pPr>
      <w:r w:rsidRPr="003A07E6">
        <w:rPr>
          <w:b/>
          <w:sz w:val="22"/>
          <w:szCs w:val="22"/>
          <w:u w:val="single"/>
        </w:rPr>
        <w:t>Confidentiality</w:t>
      </w:r>
      <w:r w:rsidRPr="003A07E6">
        <w:rPr>
          <w:b/>
          <w:sz w:val="22"/>
          <w:szCs w:val="22"/>
        </w:rPr>
        <w:t xml:space="preserve">: </w:t>
      </w:r>
      <w:r w:rsidR="00225290" w:rsidRPr="003A07E6">
        <w:rPr>
          <w:b/>
          <w:sz w:val="22"/>
          <w:szCs w:val="22"/>
        </w:rPr>
        <w:t xml:space="preserve"> </w:t>
      </w:r>
      <w:r w:rsidRPr="003A07E6">
        <w:rPr>
          <w:iCs/>
          <w:sz w:val="22"/>
          <w:szCs w:val="22"/>
        </w:rPr>
        <w:t xml:space="preserve">All terms and conditions contained in this </w:t>
      </w:r>
      <w:r w:rsidR="00BB49AC" w:rsidRPr="003A07E6">
        <w:rPr>
          <w:iCs/>
          <w:sz w:val="22"/>
          <w:szCs w:val="22"/>
        </w:rPr>
        <w:t>p</w:t>
      </w:r>
      <w:r w:rsidRPr="003A07E6">
        <w:rPr>
          <w:iCs/>
          <w:sz w:val="22"/>
          <w:szCs w:val="22"/>
        </w:rPr>
        <w:t xml:space="preserve">roposal, subsequent proposals, and the </w:t>
      </w:r>
      <w:r w:rsidR="00BB49AC" w:rsidRPr="003A07E6">
        <w:rPr>
          <w:iCs/>
          <w:sz w:val="22"/>
          <w:szCs w:val="22"/>
        </w:rPr>
        <w:t>purchase</w:t>
      </w:r>
      <w:r w:rsidRPr="003A07E6">
        <w:rPr>
          <w:iCs/>
          <w:sz w:val="22"/>
          <w:szCs w:val="22"/>
        </w:rPr>
        <w:t xml:space="preserve"> sha</w:t>
      </w:r>
      <w:r w:rsidR="00BB49AC" w:rsidRPr="003A07E6">
        <w:rPr>
          <w:iCs/>
          <w:sz w:val="22"/>
          <w:szCs w:val="22"/>
        </w:rPr>
        <w:t xml:space="preserve">ll remain confidential. </w:t>
      </w:r>
      <w:r w:rsidR="00A53329" w:rsidRPr="003A07E6">
        <w:rPr>
          <w:iCs/>
          <w:sz w:val="22"/>
          <w:szCs w:val="22"/>
        </w:rPr>
        <w:t>Buyer</w:t>
      </w:r>
      <w:r w:rsidR="00BB49AC" w:rsidRPr="003A07E6">
        <w:rPr>
          <w:iCs/>
          <w:sz w:val="22"/>
          <w:szCs w:val="22"/>
        </w:rPr>
        <w:t xml:space="preserve"> </w:t>
      </w:r>
      <w:r w:rsidRPr="003A07E6">
        <w:rPr>
          <w:iCs/>
          <w:sz w:val="22"/>
          <w:szCs w:val="22"/>
        </w:rPr>
        <w:t>shall</w:t>
      </w:r>
      <w:r w:rsidR="00BB49AC" w:rsidRPr="003A07E6">
        <w:rPr>
          <w:iCs/>
          <w:sz w:val="22"/>
          <w:szCs w:val="22"/>
        </w:rPr>
        <w:t xml:space="preserve"> not</w:t>
      </w:r>
      <w:r w:rsidRPr="003A07E6">
        <w:rPr>
          <w:iCs/>
          <w:sz w:val="22"/>
          <w:szCs w:val="22"/>
        </w:rPr>
        <w:t xml:space="preserve"> reveal any information regarding rents or conditions of the proposal herein and/or subsequent </w:t>
      </w:r>
      <w:r w:rsidR="00BB49AC" w:rsidRPr="003A07E6">
        <w:rPr>
          <w:iCs/>
          <w:sz w:val="22"/>
          <w:szCs w:val="22"/>
        </w:rPr>
        <w:t>purchase</w:t>
      </w:r>
      <w:r w:rsidRPr="003A07E6">
        <w:rPr>
          <w:iCs/>
          <w:sz w:val="22"/>
          <w:szCs w:val="22"/>
        </w:rPr>
        <w:t xml:space="preserve"> agreement to tenants, brokers, or other inquirers</w:t>
      </w:r>
      <w:r w:rsidR="00BB49AC" w:rsidRPr="003A07E6">
        <w:rPr>
          <w:iCs/>
          <w:sz w:val="22"/>
          <w:szCs w:val="22"/>
        </w:rPr>
        <w:t xml:space="preserve"> until close of escrow</w:t>
      </w:r>
      <w:r w:rsidRPr="003A07E6">
        <w:rPr>
          <w:iCs/>
          <w:sz w:val="22"/>
          <w:szCs w:val="22"/>
        </w:rPr>
        <w:t>.</w:t>
      </w:r>
      <w:r w:rsidR="003A07E6" w:rsidRPr="003A07E6">
        <w:rPr>
          <w:iCs/>
          <w:sz w:val="22"/>
          <w:szCs w:val="22"/>
        </w:rPr>
        <w:t xml:space="preserve">  Buyer shall, as a material consideration for the Purchase and Sale Agreement, enter into the Non-Disclosure and Continentality Agreement attached thereto.</w:t>
      </w:r>
    </w:p>
    <w:p w:rsidR="00806F0F" w:rsidRPr="003A07E6" w:rsidRDefault="00806F0F" w:rsidP="00225290">
      <w:pPr>
        <w:tabs>
          <w:tab w:val="num" w:pos="547"/>
        </w:tabs>
        <w:ind w:right="-43"/>
        <w:jc w:val="both"/>
        <w:rPr>
          <w:iCs/>
          <w:sz w:val="22"/>
          <w:szCs w:val="22"/>
        </w:rPr>
      </w:pPr>
    </w:p>
    <w:p w:rsidR="00806F0F" w:rsidRPr="003A07E6" w:rsidRDefault="00806F0F" w:rsidP="00225290">
      <w:pPr>
        <w:tabs>
          <w:tab w:val="num" w:pos="547"/>
        </w:tabs>
        <w:ind w:right="-43"/>
        <w:jc w:val="both"/>
        <w:rPr>
          <w:iCs/>
          <w:sz w:val="22"/>
          <w:szCs w:val="22"/>
        </w:rPr>
      </w:pPr>
      <w:r w:rsidRPr="003A07E6">
        <w:rPr>
          <w:b/>
          <w:iCs/>
          <w:sz w:val="22"/>
          <w:szCs w:val="22"/>
          <w:u w:val="single"/>
        </w:rPr>
        <w:t>Time is of the Essence</w:t>
      </w:r>
      <w:r w:rsidRPr="003A07E6">
        <w:rPr>
          <w:b/>
          <w:iCs/>
          <w:sz w:val="22"/>
          <w:szCs w:val="22"/>
        </w:rPr>
        <w:t>:</w:t>
      </w:r>
      <w:r w:rsidRPr="003A07E6">
        <w:rPr>
          <w:iCs/>
          <w:sz w:val="22"/>
          <w:szCs w:val="22"/>
        </w:rPr>
        <w:t xml:space="preserve"> Upon agreement herein, </w:t>
      </w:r>
      <w:r w:rsidR="007865F4" w:rsidRPr="003A07E6">
        <w:rPr>
          <w:iCs/>
          <w:sz w:val="22"/>
          <w:szCs w:val="22"/>
        </w:rPr>
        <w:t>Seller</w:t>
      </w:r>
      <w:r w:rsidRPr="003A07E6">
        <w:rPr>
          <w:iCs/>
          <w:sz w:val="22"/>
          <w:szCs w:val="22"/>
        </w:rPr>
        <w:t xml:space="preserve"> and Tenant </w:t>
      </w:r>
      <w:r w:rsidR="007865F4" w:rsidRPr="003A07E6">
        <w:rPr>
          <w:iCs/>
          <w:sz w:val="22"/>
          <w:szCs w:val="22"/>
        </w:rPr>
        <w:t>Buyer</w:t>
      </w:r>
      <w:r w:rsidRPr="003A07E6">
        <w:rPr>
          <w:iCs/>
          <w:sz w:val="22"/>
          <w:szCs w:val="22"/>
        </w:rPr>
        <w:t xml:space="preserve"> to diligently finalize the </w:t>
      </w:r>
      <w:r w:rsidR="00225290" w:rsidRPr="003A07E6">
        <w:rPr>
          <w:iCs/>
          <w:sz w:val="22"/>
          <w:szCs w:val="22"/>
        </w:rPr>
        <w:t>purchase ag</w:t>
      </w:r>
      <w:r w:rsidRPr="003A07E6">
        <w:rPr>
          <w:iCs/>
          <w:sz w:val="22"/>
          <w:szCs w:val="22"/>
        </w:rPr>
        <w:t>reement in a timely manner.</w:t>
      </w:r>
      <w:r w:rsidR="007865F4" w:rsidRPr="003A07E6">
        <w:rPr>
          <w:iCs/>
          <w:sz w:val="22"/>
          <w:szCs w:val="22"/>
        </w:rPr>
        <w:t xml:space="preserve">  </w:t>
      </w:r>
    </w:p>
    <w:p w:rsidR="00806F0F" w:rsidRPr="003A07E6" w:rsidRDefault="00806F0F" w:rsidP="00225290">
      <w:pPr>
        <w:tabs>
          <w:tab w:val="num" w:pos="547"/>
        </w:tabs>
        <w:ind w:right="-43"/>
        <w:jc w:val="both"/>
        <w:rPr>
          <w:sz w:val="22"/>
          <w:szCs w:val="22"/>
        </w:rPr>
      </w:pPr>
    </w:p>
    <w:p w:rsidR="00806F0F" w:rsidRPr="003A07E6" w:rsidRDefault="00806F0F" w:rsidP="00225290">
      <w:pPr>
        <w:tabs>
          <w:tab w:val="left" w:pos="480"/>
        </w:tabs>
        <w:ind w:right="-187"/>
        <w:jc w:val="both"/>
        <w:rPr>
          <w:sz w:val="22"/>
          <w:szCs w:val="22"/>
        </w:rPr>
      </w:pPr>
      <w:r w:rsidRPr="003A07E6">
        <w:rPr>
          <w:b/>
          <w:sz w:val="22"/>
          <w:szCs w:val="22"/>
          <w:u w:val="single"/>
        </w:rPr>
        <w:t>Proposal Expiration</w:t>
      </w:r>
      <w:r w:rsidRPr="003A07E6">
        <w:rPr>
          <w:b/>
          <w:sz w:val="22"/>
          <w:szCs w:val="22"/>
        </w:rPr>
        <w:t xml:space="preserve">: </w:t>
      </w:r>
      <w:r w:rsidR="00225290" w:rsidRPr="003A07E6">
        <w:rPr>
          <w:b/>
          <w:sz w:val="22"/>
          <w:szCs w:val="22"/>
        </w:rPr>
        <w:t xml:space="preserve"> </w:t>
      </w:r>
      <w:r w:rsidRPr="003A07E6">
        <w:rPr>
          <w:sz w:val="22"/>
          <w:szCs w:val="22"/>
        </w:rPr>
        <w:t>This proposal shall remain valid until</w:t>
      </w:r>
      <w:r w:rsidRPr="003A07E6">
        <w:rPr>
          <w:b/>
          <w:sz w:val="22"/>
          <w:szCs w:val="22"/>
        </w:rPr>
        <w:t xml:space="preserve"> 5:00 PM, </w:t>
      </w:r>
      <w:r w:rsidR="003D5958" w:rsidRPr="003A07E6">
        <w:rPr>
          <w:b/>
          <w:sz w:val="22"/>
          <w:szCs w:val="22"/>
        </w:rPr>
        <w:t>Wednesday,</w:t>
      </w:r>
      <w:r w:rsidRPr="003A07E6">
        <w:rPr>
          <w:b/>
          <w:sz w:val="22"/>
          <w:szCs w:val="22"/>
        </w:rPr>
        <w:t xml:space="preserve"> </w:t>
      </w:r>
      <w:r w:rsidR="00A53329" w:rsidRPr="003A07E6">
        <w:rPr>
          <w:b/>
          <w:sz w:val="22"/>
          <w:szCs w:val="22"/>
        </w:rPr>
        <w:t>____________.</w:t>
      </w:r>
      <w:r w:rsidRPr="003A07E6">
        <w:rPr>
          <w:sz w:val="22"/>
          <w:szCs w:val="22"/>
        </w:rPr>
        <w:t xml:space="preserve">  </w:t>
      </w:r>
      <w:r w:rsidR="00225290" w:rsidRPr="003A07E6">
        <w:rPr>
          <w:b/>
          <w:sz w:val="22"/>
          <w:szCs w:val="22"/>
          <w:u w:val="single"/>
        </w:rPr>
        <w:t xml:space="preserve">Seller and </w:t>
      </w:r>
      <w:r w:rsidR="00A53329" w:rsidRPr="003A07E6">
        <w:rPr>
          <w:b/>
          <w:sz w:val="22"/>
          <w:szCs w:val="22"/>
          <w:u w:val="single"/>
        </w:rPr>
        <w:t>Buyer</w:t>
      </w:r>
      <w:r w:rsidR="00225290" w:rsidRPr="003A07E6">
        <w:rPr>
          <w:b/>
          <w:sz w:val="22"/>
          <w:szCs w:val="22"/>
          <w:u w:val="single"/>
        </w:rPr>
        <w:t xml:space="preserve"> a</w:t>
      </w:r>
      <w:r w:rsidRPr="003A07E6">
        <w:rPr>
          <w:b/>
          <w:sz w:val="22"/>
          <w:szCs w:val="22"/>
          <w:u w:val="single"/>
        </w:rPr>
        <w:t xml:space="preserve">cknowledge that this proposal is not a </w:t>
      </w:r>
      <w:r w:rsidR="00225290" w:rsidRPr="003A07E6">
        <w:rPr>
          <w:b/>
          <w:sz w:val="22"/>
          <w:szCs w:val="22"/>
          <w:u w:val="single"/>
        </w:rPr>
        <w:t>binding agreement</w:t>
      </w:r>
      <w:r w:rsidR="007865F4" w:rsidRPr="003A07E6">
        <w:rPr>
          <w:sz w:val="22"/>
          <w:szCs w:val="22"/>
        </w:rPr>
        <w:t>,</w:t>
      </w:r>
      <w:r w:rsidRPr="003A07E6">
        <w:rPr>
          <w:sz w:val="22"/>
          <w:szCs w:val="22"/>
        </w:rPr>
        <w:t xml:space="preserve"> and that this is intended as the basis for the preparatio</w:t>
      </w:r>
      <w:r w:rsidR="00225290" w:rsidRPr="003A07E6">
        <w:rPr>
          <w:sz w:val="22"/>
          <w:szCs w:val="22"/>
        </w:rPr>
        <w:t xml:space="preserve">n of formal purchase </w:t>
      </w:r>
      <w:r w:rsidR="007B467A" w:rsidRPr="003A07E6">
        <w:rPr>
          <w:sz w:val="22"/>
          <w:szCs w:val="22"/>
        </w:rPr>
        <w:t xml:space="preserve">agreement to be drafted by </w:t>
      </w:r>
      <w:r w:rsidR="00225290" w:rsidRPr="003A07E6">
        <w:rPr>
          <w:sz w:val="22"/>
          <w:szCs w:val="22"/>
        </w:rPr>
        <w:t>Seller</w:t>
      </w:r>
      <w:r w:rsidRPr="003A07E6">
        <w:rPr>
          <w:sz w:val="22"/>
          <w:szCs w:val="22"/>
        </w:rPr>
        <w:t xml:space="preserve">.  </w:t>
      </w:r>
      <w:r w:rsidR="00A53329" w:rsidRPr="003A07E6">
        <w:rPr>
          <w:sz w:val="22"/>
          <w:szCs w:val="22"/>
        </w:rPr>
        <w:t>Seller shall have the right to market the Property to other prospective buyers</w:t>
      </w:r>
      <w:r w:rsidR="003A07E6" w:rsidRPr="003A07E6">
        <w:rPr>
          <w:sz w:val="22"/>
          <w:szCs w:val="22"/>
        </w:rPr>
        <w:t xml:space="preserve">, solicit and </w:t>
      </w:r>
      <w:r w:rsidR="00A53329" w:rsidRPr="003A07E6">
        <w:rPr>
          <w:sz w:val="22"/>
          <w:szCs w:val="22"/>
        </w:rPr>
        <w:t>accept back up offers</w:t>
      </w:r>
      <w:r w:rsidR="003A07E6" w:rsidRPr="003A07E6">
        <w:rPr>
          <w:sz w:val="22"/>
          <w:szCs w:val="22"/>
        </w:rPr>
        <w:t>, and otherwise offer the Property for sale</w:t>
      </w:r>
      <w:r w:rsidR="00A53329" w:rsidRPr="003A07E6">
        <w:rPr>
          <w:sz w:val="22"/>
          <w:szCs w:val="22"/>
        </w:rPr>
        <w:t xml:space="preserve"> until Close of Escrow.</w:t>
      </w:r>
    </w:p>
    <w:p w:rsidR="00806F0F" w:rsidRPr="003A07E6" w:rsidRDefault="00806F0F" w:rsidP="00225290">
      <w:pPr>
        <w:tabs>
          <w:tab w:val="num" w:pos="547"/>
          <w:tab w:val="left" w:pos="2790"/>
        </w:tabs>
        <w:jc w:val="both"/>
        <w:rPr>
          <w:sz w:val="22"/>
          <w:szCs w:val="22"/>
        </w:rPr>
      </w:pPr>
    </w:p>
    <w:p w:rsidR="00806F0F" w:rsidRPr="003A07E6" w:rsidRDefault="00806F0F" w:rsidP="00806F0F">
      <w:pPr>
        <w:tabs>
          <w:tab w:val="num" w:pos="547"/>
          <w:tab w:val="left" w:pos="2790"/>
        </w:tabs>
        <w:rPr>
          <w:sz w:val="22"/>
          <w:szCs w:val="22"/>
        </w:rPr>
      </w:pPr>
    </w:p>
    <w:p w:rsidR="00806F0F" w:rsidRPr="003A07E6" w:rsidRDefault="00806F0F" w:rsidP="00806F0F">
      <w:pPr>
        <w:tabs>
          <w:tab w:val="num" w:pos="480"/>
        </w:tabs>
        <w:jc w:val="both"/>
        <w:rPr>
          <w:b/>
          <w:sz w:val="22"/>
          <w:szCs w:val="22"/>
        </w:rPr>
      </w:pPr>
      <w:r w:rsidRPr="003A07E6">
        <w:rPr>
          <w:sz w:val="22"/>
          <w:szCs w:val="22"/>
        </w:rPr>
        <w:t>Sincerely yours,</w:t>
      </w:r>
    </w:p>
    <w:p w:rsidR="00806F0F" w:rsidRPr="003A07E6" w:rsidRDefault="00806F0F" w:rsidP="00806F0F">
      <w:pPr>
        <w:tabs>
          <w:tab w:val="num" w:pos="547"/>
          <w:tab w:val="left" w:pos="5040"/>
        </w:tabs>
        <w:rPr>
          <w:sz w:val="22"/>
          <w:szCs w:val="22"/>
        </w:rPr>
      </w:pPr>
    </w:p>
    <w:p w:rsidR="003A07E6" w:rsidRPr="003A07E6" w:rsidRDefault="003A07E6" w:rsidP="00806F0F">
      <w:pPr>
        <w:tabs>
          <w:tab w:val="num" w:pos="547"/>
          <w:tab w:val="left" w:pos="5040"/>
        </w:tabs>
        <w:rPr>
          <w:b/>
          <w:sz w:val="22"/>
          <w:szCs w:val="22"/>
        </w:rPr>
      </w:pPr>
      <w:r w:rsidRPr="003A07E6">
        <w:rPr>
          <w:b/>
          <w:sz w:val="22"/>
          <w:szCs w:val="22"/>
        </w:rPr>
        <w:t>Lathrop Land Acquisition, LLC</w:t>
      </w:r>
    </w:p>
    <w:p w:rsidR="003A07E6" w:rsidRDefault="003A07E6" w:rsidP="00806F0F">
      <w:pPr>
        <w:tabs>
          <w:tab w:val="num" w:pos="547"/>
          <w:tab w:val="left" w:pos="5040"/>
        </w:tabs>
        <w:rPr>
          <w:sz w:val="22"/>
          <w:szCs w:val="22"/>
        </w:rPr>
      </w:pPr>
    </w:p>
    <w:p w:rsidR="003A07E6" w:rsidRPr="003A07E6" w:rsidRDefault="003A07E6" w:rsidP="00806F0F">
      <w:pPr>
        <w:tabs>
          <w:tab w:val="num" w:pos="547"/>
          <w:tab w:val="left" w:pos="5040"/>
        </w:tabs>
        <w:rPr>
          <w:b/>
          <w:sz w:val="22"/>
          <w:szCs w:val="22"/>
        </w:rPr>
      </w:pPr>
      <w:r w:rsidRPr="003A07E6">
        <w:rPr>
          <w:b/>
          <w:sz w:val="22"/>
          <w:szCs w:val="22"/>
        </w:rPr>
        <w:t xml:space="preserve">By:  </w:t>
      </w:r>
      <w:proofErr w:type="spellStart"/>
      <w:r w:rsidRPr="003A07E6">
        <w:rPr>
          <w:b/>
          <w:sz w:val="22"/>
          <w:szCs w:val="22"/>
        </w:rPr>
        <w:t>Saybrook</w:t>
      </w:r>
      <w:proofErr w:type="spellEnd"/>
      <w:r w:rsidRPr="003A07E6">
        <w:rPr>
          <w:b/>
          <w:sz w:val="22"/>
          <w:szCs w:val="22"/>
        </w:rPr>
        <w:t xml:space="preserve"> Fund Investors, LLC, its managing member</w:t>
      </w:r>
    </w:p>
    <w:p w:rsidR="003A07E6" w:rsidRPr="003A07E6" w:rsidRDefault="003A07E6" w:rsidP="00806F0F">
      <w:pPr>
        <w:tabs>
          <w:tab w:val="num" w:pos="547"/>
          <w:tab w:val="left" w:pos="5040"/>
        </w:tabs>
        <w:rPr>
          <w:b/>
          <w:sz w:val="22"/>
          <w:szCs w:val="22"/>
        </w:rPr>
      </w:pPr>
    </w:p>
    <w:p w:rsidR="003A07E6" w:rsidRPr="003A07E6" w:rsidRDefault="003A07E6" w:rsidP="00806F0F">
      <w:pPr>
        <w:tabs>
          <w:tab w:val="num" w:pos="547"/>
          <w:tab w:val="left" w:pos="5040"/>
        </w:tabs>
        <w:rPr>
          <w:b/>
          <w:sz w:val="22"/>
          <w:szCs w:val="22"/>
        </w:rPr>
      </w:pPr>
    </w:p>
    <w:p w:rsidR="003A07E6" w:rsidRPr="003A07E6" w:rsidRDefault="003A07E6" w:rsidP="00806F0F">
      <w:pPr>
        <w:tabs>
          <w:tab w:val="num" w:pos="547"/>
          <w:tab w:val="left" w:pos="5040"/>
        </w:tabs>
        <w:rPr>
          <w:b/>
          <w:sz w:val="22"/>
          <w:szCs w:val="22"/>
        </w:rPr>
      </w:pPr>
    </w:p>
    <w:p w:rsidR="00ED3028" w:rsidRPr="003A07E6" w:rsidRDefault="003A07E6" w:rsidP="00806F0F">
      <w:pPr>
        <w:tabs>
          <w:tab w:val="num" w:pos="547"/>
          <w:tab w:val="left" w:pos="5040"/>
        </w:tabs>
        <w:rPr>
          <w:b/>
          <w:sz w:val="22"/>
          <w:szCs w:val="22"/>
        </w:rPr>
      </w:pPr>
      <w:r w:rsidRPr="003A07E6">
        <w:rPr>
          <w:b/>
          <w:sz w:val="22"/>
          <w:szCs w:val="22"/>
        </w:rPr>
        <w:t>____________________________________</w:t>
      </w:r>
    </w:p>
    <w:p w:rsidR="003A07E6" w:rsidRPr="003A07E6" w:rsidRDefault="003A07E6" w:rsidP="00806F0F">
      <w:pPr>
        <w:tabs>
          <w:tab w:val="num" w:pos="547"/>
          <w:tab w:val="left" w:pos="5040"/>
        </w:tabs>
        <w:rPr>
          <w:b/>
          <w:sz w:val="22"/>
          <w:szCs w:val="22"/>
        </w:rPr>
      </w:pPr>
      <w:r w:rsidRPr="003A07E6">
        <w:rPr>
          <w:b/>
          <w:sz w:val="22"/>
          <w:szCs w:val="22"/>
        </w:rPr>
        <w:t>Jeffrey M. Wilson, Officer</w:t>
      </w:r>
    </w:p>
    <w:p w:rsidR="00806F0F" w:rsidRPr="003A07E6" w:rsidRDefault="00806F0F" w:rsidP="00806F0F">
      <w:pPr>
        <w:tabs>
          <w:tab w:val="num" w:pos="547"/>
        </w:tabs>
        <w:jc w:val="both"/>
        <w:rPr>
          <w:b/>
          <w:sz w:val="22"/>
          <w:szCs w:val="22"/>
        </w:rPr>
      </w:pPr>
      <w:r w:rsidRPr="003A07E6">
        <w:rPr>
          <w:b/>
          <w:sz w:val="22"/>
          <w:szCs w:val="22"/>
        </w:rPr>
        <w:tab/>
        <w:t xml:space="preserve"> </w:t>
      </w:r>
    </w:p>
    <w:p w:rsidR="00806F0F" w:rsidRPr="003A07E6" w:rsidRDefault="00806F0F" w:rsidP="00806F0F">
      <w:pPr>
        <w:rPr>
          <w:sz w:val="22"/>
          <w:szCs w:val="22"/>
        </w:rPr>
      </w:pPr>
    </w:p>
    <w:p w:rsidR="00806F0F" w:rsidRPr="003A07E6" w:rsidRDefault="00806F0F" w:rsidP="00806F0F">
      <w:pPr>
        <w:rPr>
          <w:sz w:val="22"/>
          <w:szCs w:val="22"/>
        </w:rPr>
      </w:pPr>
      <w:r w:rsidRPr="003A07E6">
        <w:rPr>
          <w:sz w:val="22"/>
          <w:szCs w:val="22"/>
        </w:rPr>
        <w:t>Acknowledged and approved by:</w:t>
      </w:r>
    </w:p>
    <w:p w:rsidR="00806F0F" w:rsidRPr="003A07E6" w:rsidRDefault="00806F0F" w:rsidP="00806F0F">
      <w:pPr>
        <w:rPr>
          <w:sz w:val="22"/>
          <w:szCs w:val="22"/>
        </w:rPr>
      </w:pPr>
    </w:p>
    <w:p w:rsidR="00806F0F" w:rsidRPr="003A07E6" w:rsidRDefault="00A53329" w:rsidP="00806F0F">
      <w:pPr>
        <w:rPr>
          <w:b/>
          <w:sz w:val="22"/>
          <w:szCs w:val="22"/>
        </w:rPr>
      </w:pPr>
      <w:r w:rsidRPr="003A07E6">
        <w:rPr>
          <w:b/>
          <w:sz w:val="22"/>
          <w:szCs w:val="22"/>
        </w:rPr>
        <w:t>Buyer</w:t>
      </w:r>
      <w:r w:rsidR="00806F0F" w:rsidRPr="003A07E6">
        <w:rPr>
          <w:b/>
          <w:sz w:val="22"/>
          <w:szCs w:val="22"/>
        </w:rPr>
        <w:t xml:space="preserve">: </w:t>
      </w:r>
    </w:p>
    <w:p w:rsidR="00806F0F" w:rsidRPr="003A07E6" w:rsidRDefault="00806F0F" w:rsidP="00806F0F">
      <w:pPr>
        <w:rPr>
          <w:b/>
          <w:sz w:val="22"/>
          <w:szCs w:val="22"/>
        </w:rPr>
      </w:pPr>
    </w:p>
    <w:p w:rsidR="00806F0F" w:rsidRPr="003A07E6" w:rsidRDefault="00806F0F" w:rsidP="00806F0F">
      <w:pPr>
        <w:rPr>
          <w:b/>
          <w:sz w:val="22"/>
          <w:szCs w:val="22"/>
        </w:rPr>
      </w:pPr>
    </w:p>
    <w:p w:rsidR="00806F0F" w:rsidRPr="003A07E6" w:rsidRDefault="00806F0F" w:rsidP="00806F0F">
      <w:pPr>
        <w:rPr>
          <w:sz w:val="22"/>
          <w:szCs w:val="22"/>
        </w:rPr>
      </w:pPr>
      <w:r w:rsidRPr="003A07E6">
        <w:rPr>
          <w:b/>
          <w:sz w:val="22"/>
          <w:szCs w:val="22"/>
        </w:rPr>
        <w:t>BY:</w:t>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rPr>
        <w:tab/>
        <w:t>DATE:</w:t>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u w:val="single"/>
        </w:rPr>
        <w:tab/>
      </w:r>
      <w:r w:rsidRPr="003A07E6">
        <w:rPr>
          <w:b/>
          <w:sz w:val="22"/>
          <w:szCs w:val="22"/>
          <w:u w:val="single"/>
        </w:rPr>
        <w:tab/>
      </w:r>
      <w:r w:rsidRPr="003A07E6">
        <w:rPr>
          <w:sz w:val="22"/>
          <w:szCs w:val="22"/>
        </w:rPr>
        <w:tab/>
      </w:r>
      <w:r w:rsidRPr="003A07E6">
        <w:rPr>
          <w:b/>
          <w:sz w:val="22"/>
          <w:szCs w:val="22"/>
        </w:rPr>
        <w:t xml:space="preserve"> </w:t>
      </w:r>
    </w:p>
    <w:p w:rsidR="00806F0F" w:rsidRPr="003A07E6" w:rsidRDefault="00806F0F" w:rsidP="00806F0F">
      <w:pPr>
        <w:rPr>
          <w:sz w:val="22"/>
          <w:szCs w:val="22"/>
        </w:rPr>
      </w:pPr>
    </w:p>
    <w:p w:rsidR="000B2409" w:rsidRPr="003A07E6" w:rsidRDefault="000B2409">
      <w:pPr>
        <w:rPr>
          <w:sz w:val="22"/>
          <w:szCs w:val="22"/>
        </w:rPr>
      </w:pPr>
    </w:p>
    <w:sectPr w:rsidR="000B2409" w:rsidRPr="003A07E6">
      <w:headerReference w:type="default" r:id="rId6"/>
      <w:footerReference w:type="first" r:id="rId7"/>
      <w:pgSz w:w="12240" w:h="15840" w:code="1"/>
      <w:pgMar w:top="72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7CB" w:rsidRDefault="001267CB" w:rsidP="00806F0F">
      <w:r>
        <w:separator/>
      </w:r>
    </w:p>
  </w:endnote>
  <w:endnote w:type="continuationSeparator" w:id="0">
    <w:p w:rsidR="001267CB" w:rsidRDefault="001267CB" w:rsidP="0080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98A" w:rsidRDefault="00806F0F">
    <w:pPr>
      <w:pStyle w:val="Footer"/>
    </w:pPr>
    <w:r>
      <w:rPr>
        <w:noProof/>
      </w:rPr>
      <mc:AlternateContent>
        <mc:Choice Requires="wps">
          <w:drawing>
            <wp:anchor distT="0" distB="0" distL="114300" distR="114300" simplePos="0" relativeHeight="251659264" behindDoc="0" locked="0" layoutInCell="1" allowOverlap="1" wp14:anchorId="7D89579A" wp14:editId="18F2A27D">
              <wp:simplePos x="0" y="0"/>
              <wp:positionH relativeFrom="column">
                <wp:posOffset>4953000</wp:posOffset>
              </wp:positionH>
              <wp:positionV relativeFrom="paragraph">
                <wp:posOffset>12065</wp:posOffset>
              </wp:positionV>
              <wp:extent cx="1077595" cy="374015"/>
              <wp:effectExtent l="0" t="254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198A" w:rsidRDefault="001267C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D89579A" id="_x0000_t202" coordsize="21600,21600" o:spt="202" path="m,l,21600r21600,l21600,xe">
              <v:stroke joinstyle="miter"/>
              <v:path gradientshapeok="t" o:connecttype="rect"/>
            </v:shapetype>
            <v:shape id="Text Box 2" o:spid="_x0000_s1026" type="#_x0000_t202" style="position:absolute;margin-left:390pt;margin-top:.95pt;width:84.85pt;height:2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" filled="f" stroked="f">
              <v:textbox style="mso-fit-shape-to-text:t">
                <w:txbxContent>
                  <w:p w:rsidR="001E198A" w:rsidRDefault="001267C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7CB" w:rsidRDefault="001267CB" w:rsidP="00806F0F">
      <w:r>
        <w:separator/>
      </w:r>
    </w:p>
  </w:footnote>
  <w:footnote w:type="continuationSeparator" w:id="0">
    <w:p w:rsidR="001267CB" w:rsidRDefault="001267CB" w:rsidP="00806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98A" w:rsidRDefault="001267CB">
    <w:pPr>
      <w:pStyle w:val="Header"/>
      <w:tabs>
        <w:tab w:val="clear" w:pos="4320"/>
        <w:tab w:val="center" w:pos="5040"/>
      </w:tabs>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F0F"/>
    <w:rsid w:val="000862D0"/>
    <w:rsid w:val="000B2409"/>
    <w:rsid w:val="000D3939"/>
    <w:rsid w:val="000E2B70"/>
    <w:rsid w:val="000F5BE0"/>
    <w:rsid w:val="001267CB"/>
    <w:rsid w:val="0016551C"/>
    <w:rsid w:val="001D10E9"/>
    <w:rsid w:val="00225290"/>
    <w:rsid w:val="003A07E6"/>
    <w:rsid w:val="003D1B30"/>
    <w:rsid w:val="003D5958"/>
    <w:rsid w:val="003F731D"/>
    <w:rsid w:val="00450D82"/>
    <w:rsid w:val="00456E62"/>
    <w:rsid w:val="00465D44"/>
    <w:rsid w:val="004C7FB1"/>
    <w:rsid w:val="0059370E"/>
    <w:rsid w:val="005A2121"/>
    <w:rsid w:val="005D7DFB"/>
    <w:rsid w:val="006347B8"/>
    <w:rsid w:val="006E2868"/>
    <w:rsid w:val="00711957"/>
    <w:rsid w:val="007865F4"/>
    <w:rsid w:val="007B467A"/>
    <w:rsid w:val="00806F0F"/>
    <w:rsid w:val="0085051E"/>
    <w:rsid w:val="00853FB8"/>
    <w:rsid w:val="009863B5"/>
    <w:rsid w:val="009A3B37"/>
    <w:rsid w:val="009D7134"/>
    <w:rsid w:val="00A467BA"/>
    <w:rsid w:val="00A53329"/>
    <w:rsid w:val="00AA2F21"/>
    <w:rsid w:val="00AD0886"/>
    <w:rsid w:val="00B15E72"/>
    <w:rsid w:val="00B4654C"/>
    <w:rsid w:val="00BB49AC"/>
    <w:rsid w:val="00BC105B"/>
    <w:rsid w:val="00BD091F"/>
    <w:rsid w:val="00C156F8"/>
    <w:rsid w:val="00CC29D5"/>
    <w:rsid w:val="00CC5FFB"/>
    <w:rsid w:val="00D03C6E"/>
    <w:rsid w:val="00D2582A"/>
    <w:rsid w:val="00DC1021"/>
    <w:rsid w:val="00DC2D16"/>
    <w:rsid w:val="00E74D7F"/>
    <w:rsid w:val="00E779D4"/>
    <w:rsid w:val="00EC4FFE"/>
    <w:rsid w:val="00ED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B86BC"/>
  <w15:chartTrackingRefBased/>
  <w15:docId w15:val="{AB587969-8B2D-4E7F-8068-89B7AC108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6F0F"/>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06F0F"/>
    <w:pPr>
      <w:tabs>
        <w:tab w:val="center" w:pos="4320"/>
        <w:tab w:val="right" w:pos="8640"/>
      </w:tabs>
    </w:pPr>
  </w:style>
  <w:style w:type="character" w:customStyle="1" w:styleId="HeaderChar">
    <w:name w:val="Header Char"/>
    <w:basedOn w:val="DefaultParagraphFont"/>
    <w:link w:val="Header"/>
    <w:semiHidden/>
    <w:rsid w:val="00806F0F"/>
    <w:rPr>
      <w:rFonts w:ascii="Times New Roman" w:eastAsia="Times New Roman" w:hAnsi="Times New Roman" w:cs="Times New Roman"/>
      <w:sz w:val="24"/>
      <w:szCs w:val="20"/>
    </w:rPr>
  </w:style>
  <w:style w:type="paragraph" w:styleId="Footer">
    <w:name w:val="footer"/>
    <w:basedOn w:val="Normal"/>
    <w:link w:val="FooterChar"/>
    <w:semiHidden/>
    <w:rsid w:val="00806F0F"/>
    <w:pPr>
      <w:tabs>
        <w:tab w:val="center" w:pos="4320"/>
        <w:tab w:val="right" w:pos="8640"/>
      </w:tabs>
    </w:pPr>
  </w:style>
  <w:style w:type="character" w:customStyle="1" w:styleId="FooterChar">
    <w:name w:val="Footer Char"/>
    <w:basedOn w:val="DefaultParagraphFont"/>
    <w:link w:val="Footer"/>
    <w:semiHidden/>
    <w:rsid w:val="00806F0F"/>
    <w:rPr>
      <w:rFonts w:ascii="Times New Roman" w:eastAsia="Times New Roman" w:hAnsi="Times New Roman" w:cs="Times New Roman"/>
      <w:sz w:val="24"/>
      <w:szCs w:val="20"/>
    </w:rPr>
  </w:style>
  <w:style w:type="paragraph" w:customStyle="1" w:styleId="Body">
    <w:name w:val="Body"/>
    <w:aliases w:val="b"/>
    <w:basedOn w:val="Normal"/>
    <w:rsid w:val="00806F0F"/>
    <w:pPr>
      <w:tabs>
        <w:tab w:val="left" w:pos="-720"/>
      </w:tabs>
      <w:suppressAutoHyphens/>
      <w:spacing w:before="240"/>
      <w:ind w:firstLine="720"/>
    </w:pPr>
  </w:style>
  <w:style w:type="paragraph" w:styleId="PlainText">
    <w:name w:val="Plain Text"/>
    <w:basedOn w:val="Normal"/>
    <w:link w:val="PlainTextChar"/>
    <w:uiPriority w:val="99"/>
    <w:semiHidden/>
    <w:rsid w:val="00806F0F"/>
    <w:rPr>
      <w:rFonts w:ascii="Courier New" w:hAnsi="Courier New"/>
      <w:sz w:val="20"/>
    </w:rPr>
  </w:style>
  <w:style w:type="character" w:customStyle="1" w:styleId="PlainTextChar">
    <w:name w:val="Plain Text Char"/>
    <w:basedOn w:val="DefaultParagraphFont"/>
    <w:link w:val="PlainText"/>
    <w:uiPriority w:val="99"/>
    <w:semiHidden/>
    <w:rsid w:val="00806F0F"/>
    <w:rPr>
      <w:rFonts w:ascii="Courier New" w:eastAsia="Times New Roman" w:hAnsi="Courier New" w:cs="Times New Roman"/>
      <w:sz w:val="20"/>
      <w:szCs w:val="20"/>
    </w:rPr>
  </w:style>
  <w:style w:type="character" w:customStyle="1" w:styleId="BodyCharChar">
    <w:name w:val="Body Char Char"/>
    <w:locked/>
    <w:rsid w:val="00806F0F"/>
    <w:rPr>
      <w:rFonts w:ascii="Palatino" w:hAnsi="Palatino"/>
      <w:sz w:val="22"/>
      <w:lang w:val="en-US" w:eastAsia="en-US" w:bidi="ar-SA"/>
    </w:rPr>
  </w:style>
  <w:style w:type="paragraph" w:styleId="BalloonText">
    <w:name w:val="Balloon Text"/>
    <w:basedOn w:val="Normal"/>
    <w:link w:val="BalloonTextChar"/>
    <w:uiPriority w:val="99"/>
    <w:semiHidden/>
    <w:unhideWhenUsed/>
    <w:rsid w:val="00A53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Watts</dc:creator>
  <cp:keywords/>
  <dc:description/>
  <cp:lastModifiedBy>Rich Watts</cp:lastModifiedBy>
  <cp:revision>7</cp:revision>
  <cp:lastPrinted>2016-06-13T21:32:00Z</cp:lastPrinted>
  <dcterms:created xsi:type="dcterms:W3CDTF">2018-09-27T18:27:00Z</dcterms:created>
  <dcterms:modified xsi:type="dcterms:W3CDTF">2018-09-27T20:29:00Z</dcterms:modified>
</cp:coreProperties>
</file>