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56966">
      <w:pPr>
        <w:pStyle w:val="BodyText"/>
        <w:kinsoku w:val="0"/>
        <w:overflowPunct w:val="0"/>
        <w:spacing w:before="76"/>
        <w:ind w:left="610" w:right="610"/>
        <w:jc w:val="center"/>
        <w:rPr>
          <w:b/>
          <w:bCs/>
        </w:rPr>
      </w:pPr>
      <w:r>
        <w:rPr>
          <w:b/>
          <w:bCs/>
        </w:rPr>
        <w:t>CONFIDENTIALITY AGREEMENT</w:t>
      </w:r>
    </w:p>
    <w:p w:rsidR="00000000" w:rsidRDefault="00056966">
      <w:pPr>
        <w:pStyle w:val="BodyText"/>
        <w:kinsoku w:val="0"/>
        <w:overflowPunct w:val="0"/>
        <w:spacing w:before="4"/>
        <w:ind w:left="0"/>
        <w:rPr>
          <w:b/>
          <w:bCs/>
          <w:sz w:val="20"/>
          <w:szCs w:val="20"/>
        </w:rPr>
      </w:pPr>
    </w:p>
    <w:p w:rsidR="00000000" w:rsidRDefault="00056966">
      <w:pPr>
        <w:pStyle w:val="BodyText"/>
        <w:kinsoku w:val="0"/>
        <w:overflowPunct w:val="0"/>
        <w:ind w:left="610" w:right="616"/>
        <w:jc w:val="center"/>
      </w:pPr>
      <w:r>
        <w:t>This confidentiality agreement (hereinafter "Confidentiality Agreement") is entered into between:</w:t>
      </w:r>
    </w:p>
    <w:p w:rsidR="00000000" w:rsidRDefault="00056966">
      <w:pPr>
        <w:pStyle w:val="BodyText"/>
        <w:kinsoku w:val="0"/>
        <w:overflowPunct w:val="0"/>
        <w:spacing w:before="8"/>
        <w:ind w:left="0"/>
        <w:rPr>
          <w:sz w:val="20"/>
          <w:szCs w:val="20"/>
        </w:rPr>
      </w:pPr>
    </w:p>
    <w:p w:rsidR="00000000" w:rsidRDefault="00056966">
      <w:pPr>
        <w:pStyle w:val="ListParagraph"/>
        <w:numPr>
          <w:ilvl w:val="0"/>
          <w:numId w:val="2"/>
        </w:numPr>
        <w:tabs>
          <w:tab w:val="left" w:pos="401"/>
          <w:tab w:val="left" w:pos="8874"/>
        </w:tabs>
        <w:kinsoku w:val="0"/>
        <w:overflowPunct w:val="0"/>
        <w:spacing w:before="0"/>
        <w:ind w:right="0" w:firstLine="0"/>
        <w:jc w:val="left"/>
        <w:rPr>
          <w:sz w:val="22"/>
          <w:szCs w:val="22"/>
        </w:rPr>
      </w:pPr>
      <w:r>
        <w:rPr>
          <w:sz w:val="22"/>
          <w:szCs w:val="22"/>
          <w:u w:val="single"/>
        </w:rPr>
        <w:t xml:space="preserve"> </w:t>
      </w:r>
      <w:bookmarkStart w:id="0" w:name="_GoBack"/>
      <w:bookmarkEnd w:id="0"/>
      <w:r>
        <w:rPr>
          <w:sz w:val="22"/>
          <w:szCs w:val="22"/>
          <w:u w:val="single"/>
        </w:rPr>
        <w:tab/>
      </w:r>
      <w:r>
        <w:rPr>
          <w:sz w:val="22"/>
          <w:szCs w:val="22"/>
        </w:rPr>
        <w:t>,</w:t>
      </w:r>
      <w:r>
        <w:rPr>
          <w:spacing w:val="-2"/>
          <w:sz w:val="22"/>
          <w:szCs w:val="22"/>
        </w:rPr>
        <w:t xml:space="preserve"> </w:t>
      </w:r>
      <w:r>
        <w:rPr>
          <w:sz w:val="22"/>
          <w:szCs w:val="22"/>
        </w:rPr>
        <w:t>and</w:t>
      </w:r>
    </w:p>
    <w:p w:rsidR="00000000" w:rsidRDefault="00056966">
      <w:pPr>
        <w:pStyle w:val="BodyText"/>
        <w:kinsoku w:val="0"/>
        <w:overflowPunct w:val="0"/>
        <w:ind w:left="0"/>
        <w:rPr>
          <w:sz w:val="24"/>
          <w:szCs w:val="24"/>
        </w:rPr>
      </w:pPr>
    </w:p>
    <w:p w:rsidR="00000000" w:rsidRDefault="00056966">
      <w:pPr>
        <w:pStyle w:val="BodyText"/>
        <w:kinsoku w:val="0"/>
        <w:overflowPunct w:val="0"/>
        <w:ind w:left="0"/>
        <w:rPr>
          <w:sz w:val="24"/>
          <w:szCs w:val="24"/>
        </w:rPr>
      </w:pPr>
    </w:p>
    <w:p w:rsidR="00000000" w:rsidRDefault="00056966">
      <w:pPr>
        <w:pStyle w:val="ListParagraph"/>
        <w:numPr>
          <w:ilvl w:val="0"/>
          <w:numId w:val="2"/>
        </w:numPr>
        <w:tabs>
          <w:tab w:val="left" w:pos="449"/>
          <w:tab w:val="left" w:pos="4571"/>
          <w:tab w:val="left" w:pos="9295"/>
        </w:tabs>
        <w:kinsoku w:val="0"/>
        <w:overflowPunct w:val="0"/>
        <w:spacing w:before="176" w:line="276" w:lineRule="auto"/>
        <w:ind w:right="110" w:firstLine="0"/>
        <w:jc w:val="left"/>
        <w:rPr>
          <w:sz w:val="22"/>
          <w:szCs w:val="22"/>
        </w:rPr>
      </w:pPr>
      <w:r>
        <w:rPr>
          <w:sz w:val="22"/>
          <w:szCs w:val="22"/>
          <w:u w:val="single"/>
        </w:rPr>
        <w:t xml:space="preserve"> </w:t>
      </w:r>
      <w:r>
        <w:rPr>
          <w:sz w:val="22"/>
          <w:szCs w:val="22"/>
          <w:u w:val="single"/>
        </w:rPr>
        <w:tab/>
      </w:r>
      <w:r>
        <w:rPr>
          <w:spacing w:val="9"/>
          <w:sz w:val="22"/>
          <w:szCs w:val="22"/>
        </w:rPr>
        <w:t xml:space="preserve"> </w:t>
      </w:r>
      <w:r>
        <w:rPr>
          <w:sz w:val="22"/>
          <w:szCs w:val="22"/>
        </w:rPr>
        <w:t xml:space="preserve">who  has  signed  this  Confidentiality  Agreement </w:t>
      </w:r>
      <w:r>
        <w:rPr>
          <w:spacing w:val="25"/>
          <w:sz w:val="22"/>
          <w:szCs w:val="22"/>
        </w:rPr>
        <w:t xml:space="preserve"> </w:t>
      </w:r>
      <w:r>
        <w:rPr>
          <w:sz w:val="22"/>
          <w:szCs w:val="22"/>
        </w:rPr>
        <w:t xml:space="preserve">in </w:t>
      </w:r>
      <w:r>
        <w:rPr>
          <w:spacing w:val="3"/>
          <w:sz w:val="22"/>
          <w:szCs w:val="22"/>
        </w:rPr>
        <w:t xml:space="preserve"> </w:t>
      </w:r>
      <w:r>
        <w:rPr>
          <w:sz w:val="22"/>
          <w:szCs w:val="22"/>
        </w:rPr>
        <w:t>his capacity as</w:t>
      </w:r>
      <w:r>
        <w:rPr>
          <w:spacing w:val="-7"/>
          <w:sz w:val="22"/>
          <w:szCs w:val="22"/>
        </w:rPr>
        <w:t xml:space="preserve"> </w:t>
      </w:r>
      <w:r>
        <w:rPr>
          <w:sz w:val="22"/>
          <w:szCs w:val="22"/>
        </w:rPr>
        <w:t xml:space="preserve">researcher </w:t>
      </w:r>
      <w:r>
        <w:rPr>
          <w:sz w:val="22"/>
          <w:szCs w:val="22"/>
          <w:u w:val="single"/>
        </w:rPr>
        <w:t xml:space="preserve"> </w:t>
      </w:r>
      <w:r>
        <w:rPr>
          <w:sz w:val="22"/>
          <w:szCs w:val="22"/>
          <w:u w:val="single"/>
        </w:rPr>
        <w:tab/>
      </w:r>
      <w:r>
        <w:rPr>
          <w:sz w:val="22"/>
          <w:szCs w:val="22"/>
          <w:u w:val="single"/>
        </w:rPr>
        <w:tab/>
      </w:r>
    </w:p>
    <w:p w:rsidR="00000000" w:rsidRDefault="00056966">
      <w:pPr>
        <w:pStyle w:val="BodyText"/>
        <w:kinsoku w:val="0"/>
        <w:overflowPunct w:val="0"/>
        <w:spacing w:before="5"/>
        <w:ind w:left="0"/>
        <w:rPr>
          <w:sz w:val="9"/>
          <w:szCs w:val="9"/>
        </w:rPr>
      </w:pPr>
    </w:p>
    <w:p w:rsidR="00000000" w:rsidRDefault="00056966">
      <w:pPr>
        <w:pStyle w:val="BodyText"/>
        <w:kinsoku w:val="0"/>
        <w:overflowPunct w:val="0"/>
        <w:spacing w:before="91"/>
        <w:ind w:left="2138"/>
      </w:pPr>
      <w:r>
        <w:t>(Hereinafter also, each individually, Party, and jointly, Parties).</w:t>
      </w:r>
    </w:p>
    <w:p w:rsidR="00000000" w:rsidRDefault="00056966">
      <w:pPr>
        <w:pStyle w:val="BodyText"/>
        <w:kinsoku w:val="0"/>
        <w:overflowPunct w:val="0"/>
        <w:spacing w:before="8"/>
        <w:ind w:left="0"/>
        <w:rPr>
          <w:sz w:val="20"/>
          <w:szCs w:val="20"/>
        </w:rPr>
      </w:pPr>
    </w:p>
    <w:p w:rsidR="00000000" w:rsidRDefault="00056966">
      <w:pPr>
        <w:pStyle w:val="BodyText"/>
        <w:tabs>
          <w:tab w:val="left" w:pos="2896"/>
          <w:tab w:val="left" w:pos="6492"/>
          <w:tab w:val="left" w:pos="6872"/>
          <w:tab w:val="left" w:pos="9561"/>
        </w:tabs>
        <w:kinsoku w:val="0"/>
        <w:overflowPunct w:val="0"/>
        <w:spacing w:line="276" w:lineRule="auto"/>
        <w:ind w:right="110"/>
        <w:jc w:val="both"/>
      </w:pPr>
      <w:r>
        <w:rPr>
          <w:b/>
          <w:bCs/>
        </w:rPr>
        <w:t xml:space="preserve">1.   Purpose.   </w:t>
      </w:r>
      <w:r>
        <w:t xml:space="preserve">In  </w:t>
      </w:r>
      <w:r>
        <w:rPr>
          <w:spacing w:val="28"/>
        </w:rPr>
        <w:t xml:space="preserve"> </w:t>
      </w:r>
      <w:r>
        <w:t xml:space="preserve">order  </w:t>
      </w:r>
      <w:r>
        <w:rPr>
          <w:spacing w:val="7"/>
        </w:rPr>
        <w:t xml:space="preserve"> </w:t>
      </w:r>
      <w:r>
        <w:t>to</w:t>
      </w:r>
      <w:r>
        <w:rPr>
          <w:u w:val="single"/>
        </w:rPr>
        <w:t xml:space="preserve"> </w:t>
      </w:r>
      <w:r>
        <w:rPr>
          <w:u w:val="single"/>
        </w:rPr>
        <w:tab/>
      </w:r>
      <w:r>
        <w:rPr>
          <w:u w:val="single"/>
        </w:rPr>
        <w:tab/>
      </w:r>
      <w:r>
        <w:rPr>
          <w:u w:val="single"/>
        </w:rPr>
        <w:tab/>
      </w:r>
      <w:r>
        <w:t xml:space="preserve">,   the   Parties  </w:t>
      </w:r>
      <w:r>
        <w:rPr>
          <w:spacing w:val="21"/>
        </w:rPr>
        <w:t xml:space="preserve"> </w:t>
      </w:r>
      <w:r>
        <w:t xml:space="preserve">must  </w:t>
      </w:r>
      <w:r>
        <w:rPr>
          <w:spacing w:val="8"/>
        </w:rPr>
        <w:t xml:space="preserve"> </w:t>
      </w:r>
      <w:r>
        <w:t xml:space="preserve">exchange information of a confidential nature ("Confidential Information" as defined in Article 2 below) and would like </w:t>
      </w:r>
      <w:r>
        <w:t>to ensure that it remains confidential. Each Party may, as the project progresses, provide technical or commercial information to the other Party and they may want this information to be treated as confidential under  the  terms  and  conditions  set  out</w:t>
      </w:r>
      <w:r>
        <w:rPr>
          <w:spacing w:val="7"/>
        </w:rPr>
        <w:t xml:space="preserve"> </w:t>
      </w:r>
      <w:r>
        <w:t>below,</w:t>
      </w:r>
      <w:r>
        <w:rPr>
          <w:spacing w:val="47"/>
        </w:rPr>
        <w:t xml:space="preserve"> </w:t>
      </w:r>
      <w:r>
        <w:t>OR</w:t>
      </w:r>
      <w:r>
        <w:rPr>
          <w:u w:val="single"/>
        </w:rPr>
        <w:tab/>
      </w:r>
      <w:r>
        <w:rPr>
          <w:u w:val="single"/>
        </w:rPr>
        <w:tab/>
      </w:r>
      <w:r>
        <w:t>may  have  previously</w:t>
      </w:r>
      <w:r>
        <w:rPr>
          <w:spacing w:val="30"/>
        </w:rPr>
        <w:t xml:space="preserve"> </w:t>
      </w:r>
      <w:r>
        <w:t>signed</w:t>
      </w:r>
      <w:r>
        <w:rPr>
          <w:spacing w:val="47"/>
        </w:rPr>
        <w:t xml:space="preserve"> </w:t>
      </w:r>
      <w:r>
        <w:t xml:space="preserve">a contract for the provision of professional work </w:t>
      </w:r>
      <w:r>
        <w:rPr>
          <w:spacing w:val="45"/>
        </w:rPr>
        <w:t xml:space="preserve"> </w:t>
      </w:r>
      <w:r>
        <w:t>so</w:t>
      </w:r>
      <w:r>
        <w:rPr>
          <w:spacing w:val="15"/>
        </w:rPr>
        <w:t xml:space="preserve"> </w:t>
      </w:r>
      <w:r>
        <w:t>that</w:t>
      </w:r>
      <w:r>
        <w:rPr>
          <w:u w:val="single"/>
        </w:rPr>
        <w:t xml:space="preserve"> </w:t>
      </w:r>
      <w:r>
        <w:rPr>
          <w:u w:val="single"/>
        </w:rPr>
        <w:tab/>
      </w:r>
      <w:r>
        <w:t>supports</w:t>
      </w:r>
      <w:r>
        <w:rPr>
          <w:u w:val="single"/>
        </w:rPr>
        <w:t xml:space="preserve"> </w:t>
      </w:r>
      <w:r>
        <w:rPr>
          <w:u w:val="single"/>
        </w:rPr>
        <w:tab/>
      </w:r>
      <w:r>
        <w:t>in drafting</w:t>
      </w:r>
      <w:r>
        <w:rPr>
          <w:u w:val="single"/>
        </w:rPr>
        <w:t xml:space="preserve"> </w:t>
      </w:r>
      <w:r>
        <w:rPr>
          <w:u w:val="single"/>
        </w:rPr>
        <w:tab/>
      </w:r>
      <w:r>
        <w:t>(hereinafter referred to as the</w:t>
      </w:r>
      <w:r>
        <w:rPr>
          <w:spacing w:val="-18"/>
        </w:rPr>
        <w:t xml:space="preserve"> </w:t>
      </w:r>
      <w:r>
        <w:t>Project).</w:t>
      </w:r>
    </w:p>
    <w:p w:rsidR="00000000" w:rsidRDefault="00056966">
      <w:pPr>
        <w:pStyle w:val="BodyText"/>
        <w:kinsoku w:val="0"/>
        <w:overflowPunct w:val="0"/>
        <w:spacing w:before="202" w:line="276" w:lineRule="auto"/>
        <w:ind w:right="109"/>
        <w:jc w:val="both"/>
      </w:pPr>
      <w:r>
        <w:rPr>
          <w:b/>
          <w:bCs/>
        </w:rPr>
        <w:t xml:space="preserve">2."Confidential Information". </w:t>
      </w:r>
      <w:r>
        <w:t>"Confidential Information" includes any information, and/or documentation, and/or material and/or instrument and/or research and development program provided by either Party, or furthermore acquired by one of the Parties, directly or indirectly, by any mea</w:t>
      </w:r>
      <w:r>
        <w:t>ns (for example, paper copies or electronic form), clearly declared as "confidential", "proprietary", or similar phraseology that indicates the privileged and/or confidential nature of the information. The confidential nature of the information may also re</w:t>
      </w:r>
      <w:r>
        <w:t>gard studies and analyses prepared by one Party, on the basis of Confidential Information provided by the other Party. All oral information must be treated as confidential, as must any information regarding any third party. Information that does not qualif</w:t>
      </w:r>
      <w:r>
        <w:t>y as Confidential Information includes information that: (I) was in the public domain prior to the transfer of the same information from one Party to the other or information that has become publicly available without violating this Confidentiality Agreeme</w:t>
      </w:r>
      <w:r>
        <w:t xml:space="preserve">nt; (II) has become available after being published by one Party to the other for reasons not attributable </w:t>
      </w:r>
      <w:r>
        <w:rPr>
          <w:spacing w:val="4"/>
        </w:rPr>
        <w:t xml:space="preserve">to </w:t>
      </w:r>
      <w:r>
        <w:t>the receiving Party; (III) was available to the receiving Party prior to the communication, as can be demonstrated by the date of communicat</w:t>
      </w:r>
      <w:r>
        <w:t>ion on previous documents; (IV) is legitimately obtained by one of the Parties from a third party who has no obligation of confidentiality; (V) was developed independently by the receiving Party without  use or reference to information from the communicati</w:t>
      </w:r>
      <w:r>
        <w:t xml:space="preserve">ng Party, as can be demonstrated by documents and other evidence in possession of the receiving Party; or (VI) was delivered by one Party to a Judicial or Administrative Authority in compliance with laws or regulations, or as required by the same Judicial </w:t>
      </w:r>
      <w:r>
        <w:t>or Administrative Authority, in which case the receiving Party shall promptly notify the communicating Party, in writing, prior to such disclosure or, if this is not possible, immediately following the disclosure of the information, as well as the method o</w:t>
      </w:r>
      <w:r>
        <w:t>f disclosure in such a way as to limit its dissemination as much as possible.</w:t>
      </w:r>
    </w:p>
    <w:p w:rsidR="00000000" w:rsidRDefault="00056966">
      <w:pPr>
        <w:pStyle w:val="ListParagraph"/>
        <w:numPr>
          <w:ilvl w:val="0"/>
          <w:numId w:val="1"/>
        </w:numPr>
        <w:tabs>
          <w:tab w:val="left" w:pos="367"/>
        </w:tabs>
        <w:kinsoku w:val="0"/>
        <w:overflowPunct w:val="0"/>
        <w:spacing w:before="203" w:line="276" w:lineRule="auto"/>
        <w:ind w:firstLine="0"/>
        <w:rPr>
          <w:sz w:val="22"/>
          <w:szCs w:val="22"/>
        </w:rPr>
      </w:pPr>
      <w:r>
        <w:rPr>
          <w:b/>
          <w:bCs/>
          <w:sz w:val="22"/>
          <w:szCs w:val="22"/>
        </w:rPr>
        <w:t>Non-use and non-disclosure</w:t>
      </w:r>
      <w:r>
        <w:rPr>
          <w:sz w:val="22"/>
          <w:szCs w:val="22"/>
        </w:rPr>
        <w:t>. Each Party agrees not to use the Confidential Information for purposes other than those allowed in paragraph 1 above, either directly and/or indirectl</w:t>
      </w:r>
      <w:r>
        <w:rPr>
          <w:sz w:val="22"/>
          <w:szCs w:val="22"/>
        </w:rPr>
        <w:t xml:space="preserve">y. Each Party agrees to not disclose Confidential Information to third parties or employees and/or different types of third party co- workers, except when these third parties or their employees and/or different types of third party co-workers are directly </w:t>
      </w:r>
      <w:r>
        <w:rPr>
          <w:sz w:val="22"/>
          <w:szCs w:val="22"/>
        </w:rPr>
        <w:t>involved in the analysis of the project or as consultants to a Party. If it is mandatory that a third party be involved in carrying out any of the activities listed above in paragraph 1, the Party requesting this involvement must require these third partie</w:t>
      </w:r>
      <w:r>
        <w:rPr>
          <w:sz w:val="22"/>
          <w:szCs w:val="22"/>
        </w:rPr>
        <w:t xml:space="preserve">s to sign a confidentiality agreement with content that reflects the obligations of and is similar to this Confidentiality Agreement. Employees and/or co-workers of either </w:t>
      </w:r>
      <w:r>
        <w:rPr>
          <w:spacing w:val="6"/>
          <w:sz w:val="22"/>
          <w:szCs w:val="22"/>
        </w:rPr>
        <w:t xml:space="preserve"> </w:t>
      </w:r>
      <w:r>
        <w:rPr>
          <w:sz w:val="22"/>
          <w:szCs w:val="22"/>
        </w:rPr>
        <w:t>Party</w:t>
      </w:r>
    </w:p>
    <w:p w:rsidR="00000000" w:rsidRDefault="00056966">
      <w:pPr>
        <w:pStyle w:val="ListParagraph"/>
        <w:numPr>
          <w:ilvl w:val="0"/>
          <w:numId w:val="1"/>
        </w:numPr>
        <w:tabs>
          <w:tab w:val="left" w:pos="367"/>
        </w:tabs>
        <w:kinsoku w:val="0"/>
        <w:overflowPunct w:val="0"/>
        <w:spacing w:before="203" w:line="276" w:lineRule="auto"/>
        <w:ind w:firstLine="0"/>
        <w:rPr>
          <w:sz w:val="22"/>
          <w:szCs w:val="22"/>
        </w:rPr>
        <w:sectPr w:rsidR="00000000">
          <w:type w:val="continuous"/>
          <w:pgSz w:w="11910" w:h="16840"/>
          <w:pgMar w:top="1320" w:right="1020" w:bottom="280" w:left="1020" w:header="720" w:footer="720" w:gutter="0"/>
          <w:cols w:space="720"/>
          <w:noEndnote/>
        </w:sectPr>
      </w:pPr>
    </w:p>
    <w:p w:rsidR="00000000" w:rsidRDefault="00056966">
      <w:pPr>
        <w:pStyle w:val="BodyText"/>
        <w:kinsoku w:val="0"/>
        <w:overflowPunct w:val="0"/>
        <w:spacing w:before="71" w:line="276" w:lineRule="auto"/>
        <w:ind w:right="112"/>
        <w:jc w:val="both"/>
      </w:pPr>
      <w:r>
        <w:lastRenderedPageBreak/>
        <w:t>and/or employees and/or co-workers of audit companies r</w:t>
      </w:r>
      <w:r>
        <w:t>esponsible for auditing financial statements of either Party are not considered third parties. The receiving Party has the right to disclose Confidential Information to its consultants. If there is unlawful disclosure of Confidential Information by these c</w:t>
      </w:r>
      <w:r>
        <w:t>onsultants, or by members of the governing bodies of each of the Parties, the liability for damages will be the responsibility of the receiving</w:t>
      </w:r>
      <w:r>
        <w:rPr>
          <w:spacing w:val="-15"/>
        </w:rPr>
        <w:t xml:space="preserve"> </w:t>
      </w:r>
      <w:r>
        <w:t>Party.</w:t>
      </w:r>
    </w:p>
    <w:p w:rsidR="00000000" w:rsidRDefault="00056966">
      <w:pPr>
        <w:pStyle w:val="ListParagraph"/>
        <w:numPr>
          <w:ilvl w:val="0"/>
          <w:numId w:val="1"/>
        </w:numPr>
        <w:tabs>
          <w:tab w:val="left" w:pos="351"/>
        </w:tabs>
        <w:kinsoku w:val="0"/>
        <w:overflowPunct w:val="0"/>
        <w:spacing w:line="276" w:lineRule="auto"/>
        <w:ind w:firstLine="0"/>
        <w:rPr>
          <w:sz w:val="22"/>
          <w:szCs w:val="22"/>
        </w:rPr>
      </w:pPr>
      <w:r>
        <w:rPr>
          <w:b/>
          <w:bCs/>
          <w:sz w:val="22"/>
          <w:szCs w:val="22"/>
        </w:rPr>
        <w:t xml:space="preserve">Maintaining Confidentiality. </w:t>
      </w:r>
      <w:r>
        <w:rPr>
          <w:sz w:val="22"/>
          <w:szCs w:val="22"/>
        </w:rPr>
        <w:t>Each Party will take reasonable measures to protect the confidentiality of a</w:t>
      </w:r>
      <w:r>
        <w:rPr>
          <w:sz w:val="22"/>
          <w:szCs w:val="22"/>
        </w:rPr>
        <w:t>nd prevent the dissemination of Confidential Information received under the terms of this Confidentiality Agreement. When handling Confidential Information received from the other Party, each Party should use the same means they use for their own confident</w:t>
      </w:r>
      <w:r>
        <w:rPr>
          <w:sz w:val="22"/>
          <w:szCs w:val="22"/>
        </w:rPr>
        <w:t>ial documents and ensure that all persons who have access to the Confidential Information are bound to confidentiality. Each Party must assess, through normal standards of reason and diligence, which must be measured based on the nature and type of informa</w:t>
      </w:r>
      <w:r>
        <w:rPr>
          <w:sz w:val="22"/>
          <w:szCs w:val="22"/>
        </w:rPr>
        <w:t>tion processed and/or received, the methods used for the protection of the confidentiality of restricted and sensitive information. If this assessment reveals that the methods used for the protection of Confidential Information are inadequate for the natur</w:t>
      </w:r>
      <w:r>
        <w:rPr>
          <w:sz w:val="22"/>
          <w:szCs w:val="22"/>
        </w:rPr>
        <w:t>e and type of information received and processed, the Party will be required to take measures that, according to normal standards of reason and diligence, are sufficient to safeguard the confidentiality of the type of information received. Failure to do so</w:t>
      </w:r>
      <w:r>
        <w:rPr>
          <w:sz w:val="22"/>
          <w:szCs w:val="22"/>
        </w:rPr>
        <w:t xml:space="preserve"> will result in liability for all damages caused to the other Party, as a result of the disclosure of Confidential Information received by the other  Party.</w:t>
      </w:r>
    </w:p>
    <w:p w:rsidR="00000000" w:rsidRDefault="00056966">
      <w:pPr>
        <w:pStyle w:val="ListParagraph"/>
        <w:numPr>
          <w:ilvl w:val="0"/>
          <w:numId w:val="1"/>
        </w:numPr>
        <w:tabs>
          <w:tab w:val="left" w:pos="355"/>
          <w:tab w:val="left" w:pos="2280"/>
        </w:tabs>
        <w:kinsoku w:val="0"/>
        <w:overflowPunct w:val="0"/>
        <w:spacing w:line="276" w:lineRule="auto"/>
        <w:ind w:right="108" w:firstLine="0"/>
        <w:rPr>
          <w:sz w:val="22"/>
          <w:szCs w:val="22"/>
        </w:rPr>
      </w:pPr>
      <w:r>
        <w:rPr>
          <w:b/>
          <w:bCs/>
          <w:sz w:val="22"/>
          <w:szCs w:val="22"/>
        </w:rPr>
        <w:t xml:space="preserve">Limitations. </w:t>
      </w:r>
      <w:r>
        <w:rPr>
          <w:sz w:val="22"/>
          <w:szCs w:val="22"/>
        </w:rPr>
        <w:t>Neither obligation nor commitment nor right, even of an additional pre-contractual nat</w:t>
      </w:r>
      <w:r>
        <w:rPr>
          <w:sz w:val="22"/>
          <w:szCs w:val="22"/>
        </w:rPr>
        <w:t>ure, with respect to what is contained in this Confidentiality Agreement arises on either Party, as a result of signing this Confidentiality Agreement, with respect to agreements for the completion of the Project. Where each Party has the right to unilater</w:t>
      </w:r>
      <w:r>
        <w:rPr>
          <w:sz w:val="22"/>
          <w:szCs w:val="22"/>
        </w:rPr>
        <w:t>ally terminate the analysis of the Project at their own discretion, the Parties continue to be required to respect the terms and conditions of this Confidentiality Agreement with respect to any Confidential Information acquired during execution of the task</w:t>
      </w:r>
      <w:r>
        <w:rPr>
          <w:sz w:val="22"/>
          <w:szCs w:val="22"/>
        </w:rPr>
        <w:t>s described in paragraph 1 above for a period</w:t>
      </w:r>
      <w:r>
        <w:rPr>
          <w:spacing w:val="6"/>
          <w:sz w:val="22"/>
          <w:szCs w:val="22"/>
        </w:rPr>
        <w:t xml:space="preserve"> </w:t>
      </w:r>
      <w:r>
        <w:rPr>
          <w:sz w:val="22"/>
          <w:szCs w:val="22"/>
        </w:rPr>
        <w:t>equal</w:t>
      </w:r>
      <w:r>
        <w:rPr>
          <w:spacing w:val="7"/>
          <w:sz w:val="22"/>
          <w:szCs w:val="22"/>
        </w:rPr>
        <w:t xml:space="preserve"> </w:t>
      </w:r>
      <w:r>
        <w:rPr>
          <w:sz w:val="22"/>
          <w:szCs w:val="22"/>
        </w:rPr>
        <w:t>to</w:t>
      </w:r>
      <w:r>
        <w:rPr>
          <w:sz w:val="22"/>
          <w:szCs w:val="22"/>
          <w:u w:val="single"/>
        </w:rPr>
        <w:t xml:space="preserve"> </w:t>
      </w:r>
      <w:r>
        <w:rPr>
          <w:sz w:val="22"/>
          <w:szCs w:val="22"/>
          <w:u w:val="single"/>
        </w:rPr>
        <w:tab/>
      </w:r>
      <w:r>
        <w:rPr>
          <w:sz w:val="22"/>
          <w:szCs w:val="22"/>
        </w:rPr>
        <w:t>, effective from the date of signing of this Confidentiality Agreement.</w:t>
      </w:r>
      <w:r>
        <w:rPr>
          <w:spacing w:val="43"/>
          <w:sz w:val="22"/>
          <w:szCs w:val="22"/>
        </w:rPr>
        <w:t xml:space="preserve"> </w:t>
      </w:r>
      <w:r>
        <w:rPr>
          <w:sz w:val="22"/>
          <w:szCs w:val="22"/>
        </w:rPr>
        <w:t>No</w:t>
      </w:r>
      <w:r>
        <w:rPr>
          <w:spacing w:val="5"/>
          <w:sz w:val="22"/>
          <w:szCs w:val="22"/>
        </w:rPr>
        <w:t xml:space="preserve"> </w:t>
      </w:r>
      <w:r>
        <w:rPr>
          <w:sz w:val="22"/>
          <w:szCs w:val="22"/>
        </w:rPr>
        <w:t>additional obligation may arise from this Confidentiality Agreement for the Parties as a result of the termination of assignm</w:t>
      </w:r>
      <w:r>
        <w:rPr>
          <w:sz w:val="22"/>
          <w:szCs w:val="22"/>
        </w:rPr>
        <w:t>ents related to the</w:t>
      </w:r>
      <w:r>
        <w:rPr>
          <w:spacing w:val="-9"/>
          <w:sz w:val="22"/>
          <w:szCs w:val="22"/>
        </w:rPr>
        <w:t xml:space="preserve"> </w:t>
      </w:r>
      <w:r>
        <w:rPr>
          <w:sz w:val="22"/>
          <w:szCs w:val="22"/>
        </w:rPr>
        <w:t>Project.</w:t>
      </w:r>
    </w:p>
    <w:p w:rsidR="00000000" w:rsidRDefault="00056966">
      <w:pPr>
        <w:pStyle w:val="ListParagraph"/>
        <w:numPr>
          <w:ilvl w:val="0"/>
          <w:numId w:val="1"/>
        </w:numPr>
        <w:tabs>
          <w:tab w:val="left" w:pos="413"/>
        </w:tabs>
        <w:kinsoku w:val="0"/>
        <w:overflowPunct w:val="0"/>
        <w:spacing w:before="199" w:line="276" w:lineRule="auto"/>
        <w:ind w:firstLine="0"/>
        <w:rPr>
          <w:sz w:val="22"/>
          <w:szCs w:val="22"/>
        </w:rPr>
      </w:pPr>
      <w:r>
        <w:rPr>
          <w:b/>
          <w:bCs/>
          <w:sz w:val="22"/>
          <w:szCs w:val="22"/>
        </w:rPr>
        <w:t xml:space="preserve">Invalidity. </w:t>
      </w:r>
      <w:r>
        <w:rPr>
          <w:sz w:val="22"/>
          <w:szCs w:val="22"/>
        </w:rPr>
        <w:t>The declaration of nullity or invalidity of one or more provisions contained in this Confidentiality Agreement does not determine the invalidity or nullity of the Confidentiality Agreement as a whole or of the remai</w:t>
      </w:r>
      <w:r>
        <w:rPr>
          <w:sz w:val="22"/>
          <w:szCs w:val="22"/>
        </w:rPr>
        <w:t>ning provisions contained herein, which must be interpreted in such a way as to yield economic and substantial effects similar as much as possible to those arising from the original text of the Confidentiality</w:t>
      </w:r>
      <w:r>
        <w:rPr>
          <w:spacing w:val="-11"/>
          <w:sz w:val="22"/>
          <w:szCs w:val="22"/>
        </w:rPr>
        <w:t xml:space="preserve"> </w:t>
      </w:r>
      <w:r>
        <w:rPr>
          <w:sz w:val="22"/>
          <w:szCs w:val="22"/>
        </w:rPr>
        <w:t>Agreement.</w:t>
      </w:r>
    </w:p>
    <w:p w:rsidR="00000000" w:rsidRDefault="00056966">
      <w:pPr>
        <w:pStyle w:val="ListParagraph"/>
        <w:numPr>
          <w:ilvl w:val="0"/>
          <w:numId w:val="1"/>
        </w:numPr>
        <w:tabs>
          <w:tab w:val="left" w:pos="380"/>
        </w:tabs>
        <w:kinsoku w:val="0"/>
        <w:overflowPunct w:val="0"/>
        <w:spacing w:line="276" w:lineRule="auto"/>
        <w:ind w:right="111" w:firstLine="0"/>
        <w:rPr>
          <w:sz w:val="22"/>
          <w:szCs w:val="22"/>
        </w:rPr>
      </w:pPr>
      <w:r>
        <w:rPr>
          <w:b/>
          <w:bCs/>
          <w:sz w:val="22"/>
          <w:szCs w:val="22"/>
        </w:rPr>
        <w:t>Return of materials</w:t>
      </w:r>
      <w:r>
        <w:rPr>
          <w:sz w:val="22"/>
          <w:szCs w:val="22"/>
        </w:rPr>
        <w:t>. All Confidenti</w:t>
      </w:r>
      <w:r>
        <w:rPr>
          <w:sz w:val="22"/>
          <w:szCs w:val="22"/>
        </w:rPr>
        <w:t>al Information communicated by one Party to the other, in any material form, and all copies owned by the other Party, remain property of the communicating Party and must be returned or destroyed promptly upon written request from the communicating Party. N</w:t>
      </w:r>
      <w:r>
        <w:rPr>
          <w:sz w:val="22"/>
          <w:szCs w:val="22"/>
        </w:rPr>
        <w:t>evertheless, the obligation to preserve the confidentiality of the content as stated in the last part of paragraph 5 above remains</w:t>
      </w:r>
      <w:r>
        <w:rPr>
          <w:spacing w:val="-5"/>
          <w:sz w:val="22"/>
          <w:szCs w:val="22"/>
        </w:rPr>
        <w:t xml:space="preserve"> </w:t>
      </w:r>
      <w:r>
        <w:rPr>
          <w:sz w:val="22"/>
          <w:szCs w:val="22"/>
        </w:rPr>
        <w:t>binding.</w:t>
      </w:r>
    </w:p>
    <w:p w:rsidR="00000000" w:rsidRDefault="00056966">
      <w:pPr>
        <w:pStyle w:val="ListParagraph"/>
        <w:numPr>
          <w:ilvl w:val="0"/>
          <w:numId w:val="1"/>
        </w:numPr>
        <w:tabs>
          <w:tab w:val="left" w:pos="387"/>
        </w:tabs>
        <w:kinsoku w:val="0"/>
        <w:overflowPunct w:val="0"/>
        <w:spacing w:before="201" w:line="276" w:lineRule="auto"/>
        <w:ind w:right="113" w:firstLine="0"/>
        <w:rPr>
          <w:sz w:val="22"/>
          <w:szCs w:val="22"/>
        </w:rPr>
      </w:pPr>
      <w:r>
        <w:rPr>
          <w:b/>
          <w:bCs/>
          <w:sz w:val="22"/>
          <w:szCs w:val="22"/>
        </w:rPr>
        <w:t>Amendments</w:t>
      </w:r>
      <w:r>
        <w:rPr>
          <w:sz w:val="22"/>
          <w:szCs w:val="22"/>
        </w:rPr>
        <w:t>. Any amendment to this Confidentiality Agreement must be made in writing and be approved by appropriate u</w:t>
      </w:r>
      <w:r>
        <w:rPr>
          <w:sz w:val="22"/>
          <w:szCs w:val="22"/>
        </w:rPr>
        <w:t>ndersigning by both</w:t>
      </w:r>
      <w:r>
        <w:rPr>
          <w:spacing w:val="-9"/>
          <w:sz w:val="22"/>
          <w:szCs w:val="22"/>
        </w:rPr>
        <w:t xml:space="preserve"> </w:t>
      </w:r>
      <w:r>
        <w:rPr>
          <w:sz w:val="22"/>
          <w:szCs w:val="22"/>
        </w:rPr>
        <w:t>Parties.</w:t>
      </w:r>
    </w:p>
    <w:p w:rsidR="00000000" w:rsidRDefault="00056966">
      <w:pPr>
        <w:pStyle w:val="ListParagraph"/>
        <w:numPr>
          <w:ilvl w:val="0"/>
          <w:numId w:val="1"/>
        </w:numPr>
        <w:tabs>
          <w:tab w:val="left" w:pos="343"/>
          <w:tab w:val="left" w:pos="7313"/>
        </w:tabs>
        <w:kinsoku w:val="0"/>
        <w:overflowPunct w:val="0"/>
        <w:spacing w:line="276" w:lineRule="auto"/>
        <w:ind w:right="111" w:firstLine="0"/>
        <w:rPr>
          <w:sz w:val="22"/>
          <w:szCs w:val="22"/>
        </w:rPr>
      </w:pPr>
      <w:r>
        <w:rPr>
          <w:b/>
          <w:bCs/>
          <w:sz w:val="22"/>
          <w:szCs w:val="22"/>
        </w:rPr>
        <w:t xml:space="preserve">Term. </w:t>
      </w:r>
      <w:r>
        <w:rPr>
          <w:sz w:val="22"/>
          <w:szCs w:val="22"/>
        </w:rPr>
        <w:t>The duration of this Confidentiality Agreement</w:t>
      </w:r>
      <w:r>
        <w:rPr>
          <w:spacing w:val="48"/>
          <w:sz w:val="22"/>
          <w:szCs w:val="22"/>
        </w:rPr>
        <w:t xml:space="preserve"> </w:t>
      </w:r>
      <w:r>
        <w:rPr>
          <w:sz w:val="22"/>
          <w:szCs w:val="22"/>
        </w:rPr>
        <w:t>is</w:t>
      </w:r>
      <w:r>
        <w:rPr>
          <w:spacing w:val="8"/>
          <w:sz w:val="22"/>
          <w:szCs w:val="22"/>
        </w:rPr>
        <w:t xml:space="preserve"> </w:t>
      </w:r>
      <w:r>
        <w:rPr>
          <w:sz w:val="22"/>
          <w:szCs w:val="22"/>
        </w:rPr>
        <w:t>of</w:t>
      </w:r>
      <w:r>
        <w:rPr>
          <w:sz w:val="22"/>
          <w:szCs w:val="22"/>
          <w:u w:val="single"/>
        </w:rPr>
        <w:t xml:space="preserve"> </w:t>
      </w:r>
      <w:r>
        <w:rPr>
          <w:sz w:val="22"/>
          <w:szCs w:val="22"/>
          <w:u w:val="single"/>
        </w:rPr>
        <w:tab/>
      </w:r>
      <w:r>
        <w:rPr>
          <w:sz w:val="22"/>
          <w:szCs w:val="22"/>
        </w:rPr>
        <w:t>months from the date</w:t>
      </w:r>
      <w:r>
        <w:rPr>
          <w:spacing w:val="32"/>
          <w:sz w:val="22"/>
          <w:szCs w:val="22"/>
        </w:rPr>
        <w:t xml:space="preserve"> </w:t>
      </w:r>
      <w:r>
        <w:rPr>
          <w:sz w:val="22"/>
          <w:szCs w:val="22"/>
        </w:rPr>
        <w:t>of</w:t>
      </w:r>
      <w:r>
        <w:rPr>
          <w:spacing w:val="6"/>
          <w:sz w:val="22"/>
          <w:szCs w:val="22"/>
        </w:rPr>
        <w:t xml:space="preserve"> </w:t>
      </w:r>
      <w:r>
        <w:rPr>
          <w:sz w:val="22"/>
          <w:szCs w:val="22"/>
        </w:rPr>
        <w:t>its undersigning by both</w:t>
      </w:r>
      <w:r>
        <w:rPr>
          <w:spacing w:val="-8"/>
          <w:sz w:val="22"/>
          <w:szCs w:val="22"/>
        </w:rPr>
        <w:t xml:space="preserve"> </w:t>
      </w:r>
      <w:r>
        <w:rPr>
          <w:sz w:val="22"/>
          <w:szCs w:val="22"/>
        </w:rPr>
        <w:t>Parties.</w:t>
      </w:r>
    </w:p>
    <w:p w:rsidR="00000000" w:rsidRDefault="00056966">
      <w:pPr>
        <w:pStyle w:val="ListParagraph"/>
        <w:numPr>
          <w:ilvl w:val="0"/>
          <w:numId w:val="1"/>
        </w:numPr>
        <w:tabs>
          <w:tab w:val="left" w:pos="538"/>
        </w:tabs>
        <w:kinsoku w:val="0"/>
        <w:overflowPunct w:val="0"/>
        <w:spacing w:before="201" w:line="276" w:lineRule="auto"/>
        <w:ind w:right="110" w:firstLine="0"/>
        <w:rPr>
          <w:sz w:val="22"/>
          <w:szCs w:val="22"/>
        </w:rPr>
      </w:pPr>
      <w:r>
        <w:rPr>
          <w:b/>
          <w:bCs/>
          <w:sz w:val="22"/>
          <w:szCs w:val="22"/>
        </w:rPr>
        <w:t>Remedies</w:t>
      </w:r>
      <w:r>
        <w:rPr>
          <w:sz w:val="22"/>
          <w:szCs w:val="22"/>
        </w:rPr>
        <w:t>. Each Party acknowledges that every violation of the provisions conta</w:t>
      </w:r>
      <w:r>
        <w:rPr>
          <w:sz w:val="22"/>
          <w:szCs w:val="22"/>
        </w:rPr>
        <w:t>ined in this Confidentiality Agreement may cause irreparable damage to the other Party, reserving the right to claim monetary reparation, and any other legal remedy provided for from time to time by current</w:t>
      </w:r>
      <w:r>
        <w:rPr>
          <w:spacing w:val="-26"/>
          <w:sz w:val="22"/>
          <w:szCs w:val="22"/>
        </w:rPr>
        <w:t xml:space="preserve"> </w:t>
      </w:r>
      <w:r>
        <w:rPr>
          <w:sz w:val="22"/>
          <w:szCs w:val="22"/>
        </w:rPr>
        <w:t>regulation.</w:t>
      </w:r>
    </w:p>
    <w:p w:rsidR="00000000" w:rsidRDefault="00056966">
      <w:pPr>
        <w:pStyle w:val="ListParagraph"/>
        <w:numPr>
          <w:ilvl w:val="0"/>
          <w:numId w:val="1"/>
        </w:numPr>
        <w:tabs>
          <w:tab w:val="left" w:pos="538"/>
        </w:tabs>
        <w:kinsoku w:val="0"/>
        <w:overflowPunct w:val="0"/>
        <w:spacing w:before="201" w:line="276" w:lineRule="auto"/>
        <w:ind w:right="110" w:firstLine="0"/>
        <w:rPr>
          <w:sz w:val="22"/>
          <w:szCs w:val="22"/>
        </w:rPr>
        <w:sectPr w:rsidR="00000000">
          <w:pgSz w:w="11910" w:h="16840"/>
          <w:pgMar w:top="1320" w:right="1020" w:bottom="280" w:left="1020" w:header="720" w:footer="720" w:gutter="0"/>
          <w:cols w:space="720"/>
          <w:noEndnote/>
        </w:sectPr>
      </w:pPr>
    </w:p>
    <w:p w:rsidR="00000000" w:rsidRDefault="00056966">
      <w:pPr>
        <w:pStyle w:val="ListParagraph"/>
        <w:numPr>
          <w:ilvl w:val="0"/>
          <w:numId w:val="1"/>
        </w:numPr>
        <w:tabs>
          <w:tab w:val="left" w:pos="444"/>
        </w:tabs>
        <w:kinsoku w:val="0"/>
        <w:overflowPunct w:val="0"/>
        <w:spacing w:before="71"/>
        <w:ind w:right="387" w:firstLine="0"/>
        <w:jc w:val="left"/>
        <w:rPr>
          <w:sz w:val="22"/>
          <w:szCs w:val="22"/>
        </w:rPr>
      </w:pPr>
      <w:r>
        <w:rPr>
          <w:b/>
          <w:bCs/>
          <w:sz w:val="22"/>
          <w:szCs w:val="22"/>
        </w:rPr>
        <w:lastRenderedPageBreak/>
        <w:t>Privacy</w:t>
      </w:r>
      <w:r>
        <w:rPr>
          <w:sz w:val="22"/>
          <w:szCs w:val="22"/>
        </w:rPr>
        <w:t>. The tre</w:t>
      </w:r>
      <w:r>
        <w:rPr>
          <w:sz w:val="22"/>
          <w:szCs w:val="22"/>
        </w:rPr>
        <w:t>atment of any personal and sensitive data included in this Confidentiality Agreement shall be in compliance with the Italian Legislative Decree no. 196 dated 30/06/2003, (the "Italian Code for the Protection of Personal Data") and its subsequent</w:t>
      </w:r>
      <w:r>
        <w:rPr>
          <w:spacing w:val="-18"/>
          <w:sz w:val="22"/>
          <w:szCs w:val="22"/>
        </w:rPr>
        <w:t xml:space="preserve"> </w:t>
      </w:r>
      <w:r>
        <w:rPr>
          <w:sz w:val="22"/>
          <w:szCs w:val="22"/>
        </w:rPr>
        <w:t>amendments.</w:t>
      </w:r>
    </w:p>
    <w:p w:rsidR="00000000" w:rsidRDefault="00056966">
      <w:pPr>
        <w:pStyle w:val="BodyText"/>
        <w:kinsoku w:val="0"/>
        <w:overflowPunct w:val="0"/>
        <w:spacing w:before="3"/>
        <w:ind w:left="0"/>
        <w:rPr>
          <w:sz w:val="24"/>
          <w:szCs w:val="24"/>
        </w:rPr>
      </w:pPr>
    </w:p>
    <w:p w:rsidR="00000000" w:rsidRDefault="00056966">
      <w:pPr>
        <w:pStyle w:val="ListParagraph"/>
        <w:numPr>
          <w:ilvl w:val="0"/>
          <w:numId w:val="1"/>
        </w:numPr>
        <w:tabs>
          <w:tab w:val="left" w:pos="457"/>
        </w:tabs>
        <w:kinsoku w:val="0"/>
        <w:overflowPunct w:val="0"/>
        <w:spacing w:before="0" w:line="276" w:lineRule="auto"/>
        <w:ind w:right="111" w:firstLine="0"/>
        <w:rPr>
          <w:sz w:val="22"/>
          <w:szCs w:val="22"/>
        </w:rPr>
      </w:pPr>
      <w:r>
        <w:rPr>
          <w:b/>
          <w:bCs/>
          <w:sz w:val="22"/>
          <w:szCs w:val="22"/>
        </w:rPr>
        <w:t>Applicable Law and Jurisdiction</w:t>
      </w:r>
      <w:r>
        <w:rPr>
          <w:sz w:val="22"/>
          <w:szCs w:val="22"/>
        </w:rPr>
        <w:t xml:space="preserve">. This Confidentiality Agreement has been written in compliance and must be interpreted in accordance with Italian law. The Judicial Court of Florence will preside over any dispute regarding this Confidentiality </w:t>
      </w:r>
      <w:r>
        <w:rPr>
          <w:sz w:val="22"/>
          <w:szCs w:val="22"/>
        </w:rPr>
        <w:t>Agreement, including any disputes concerning its validity. This document constitutes the complete agreement between the Parties with respect to Confidential Information. The Parties acknowledge and agree to the terms and conditions contained in this Confid</w:t>
      </w:r>
      <w:r>
        <w:rPr>
          <w:sz w:val="22"/>
          <w:szCs w:val="22"/>
        </w:rPr>
        <w:t>entiality Agreement, as evidenced by the signatures appearing</w:t>
      </w:r>
      <w:r>
        <w:rPr>
          <w:spacing w:val="-9"/>
          <w:sz w:val="22"/>
          <w:szCs w:val="22"/>
        </w:rPr>
        <w:t xml:space="preserve"> </w:t>
      </w:r>
      <w:r>
        <w:rPr>
          <w:sz w:val="22"/>
          <w:szCs w:val="22"/>
        </w:rPr>
        <w:t>below.</w:t>
      </w:r>
    </w:p>
    <w:p w:rsidR="00000000" w:rsidRDefault="00056966">
      <w:pPr>
        <w:pStyle w:val="BodyText"/>
        <w:tabs>
          <w:tab w:val="left" w:pos="2583"/>
        </w:tabs>
        <w:kinsoku w:val="0"/>
        <w:overflowPunct w:val="0"/>
        <w:spacing w:before="202"/>
      </w:pPr>
      <w:r>
        <w:t>Florence,</w:t>
      </w:r>
      <w:r>
        <w:rPr>
          <w:spacing w:val="-3"/>
        </w:rPr>
        <w:t xml:space="preserve"> </w:t>
      </w:r>
      <w:r>
        <w:rPr>
          <w:u w:val="single"/>
        </w:rPr>
        <w:t xml:space="preserve"> </w:t>
      </w:r>
      <w:r>
        <w:rPr>
          <w:u w:val="single"/>
        </w:rPr>
        <w:tab/>
      </w:r>
    </w:p>
    <w:p w:rsidR="00000000" w:rsidRDefault="00056966">
      <w:pPr>
        <w:pStyle w:val="BodyText"/>
        <w:kinsoku w:val="0"/>
        <w:overflowPunct w:val="0"/>
        <w:ind w:left="0"/>
        <w:rPr>
          <w:sz w:val="20"/>
          <w:szCs w:val="20"/>
        </w:rPr>
      </w:pPr>
    </w:p>
    <w:p w:rsidR="00000000" w:rsidRDefault="00E00248">
      <w:pPr>
        <w:pStyle w:val="BodyText"/>
        <w:kinsoku w:val="0"/>
        <w:overflowPunct w:val="0"/>
        <w:spacing w:before="7"/>
        <w:ind w:left="0"/>
        <w:rPr>
          <w:sz w:val="18"/>
          <w:szCs w:val="18"/>
        </w:rPr>
      </w:pPr>
      <w:r>
        <w:rPr>
          <w:noProof/>
        </w:rPr>
        <mc:AlternateContent>
          <mc:Choice Requires="wps">
            <w:drawing>
              <wp:anchor distT="0" distB="0" distL="0" distR="0" simplePos="0" relativeHeight="251658240" behindDoc="0" locked="0" layoutInCell="0" allowOverlap="1">
                <wp:simplePos x="0" y="0"/>
                <wp:positionH relativeFrom="page">
                  <wp:posOffset>718820</wp:posOffset>
                </wp:positionH>
                <wp:positionV relativeFrom="paragraph">
                  <wp:posOffset>163195</wp:posOffset>
                </wp:positionV>
                <wp:extent cx="1329055" cy="1270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12700"/>
                        </a:xfrm>
                        <a:custGeom>
                          <a:avLst/>
                          <a:gdLst>
                            <a:gd name="T0" fmla="*/ 0 w 2093"/>
                            <a:gd name="T1" fmla="*/ 0 h 20"/>
                            <a:gd name="T2" fmla="*/ 2092 w 2093"/>
                            <a:gd name="T3" fmla="*/ 0 h 20"/>
                          </a:gdLst>
                          <a:ahLst/>
                          <a:cxnLst>
                            <a:cxn ang="0">
                              <a:pos x="T0" y="T1"/>
                            </a:cxn>
                            <a:cxn ang="0">
                              <a:pos x="T2" y="T3"/>
                            </a:cxn>
                          </a:cxnLst>
                          <a:rect l="0" t="0" r="r" b="b"/>
                          <a:pathLst>
                            <a:path w="2093" h="20">
                              <a:moveTo>
                                <a:pt x="0" y="0"/>
                              </a:moveTo>
                              <a:lnTo>
                                <a:pt x="20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9341AB"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6.6pt,12.85pt,161.2pt,12.85pt" coordsize="2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MD+AIAAIwGAAAOAAAAZHJzL2Uyb0RvYy54bWysVdtu2kAQfa/Uf1jtYyXiCyYBFBNFXKpK&#10;aRsp9AMWe42t2rvu7oJJq/57Z8Y2AaJIVVUezC4znjnnzIXbu0NVsr00ttAq5sGVz5lUiU4LtY35&#10;t/VqMObMOqFSUWolY/4sLb+bvX9329RTGepcl6k0DIIoO23qmOfO1VPPs0kuK2GvdC0VGDNtKuHg&#10;arZeakQD0avSC33/2mu0SWujE2kt/LpojXxG8bNMJu5rllnpWBlzwOboaei5wac3uxXTrRF1XiQd&#10;DPEPKCpRKEh6DLUQTrCdKV6FqorEaKszd5XoytNZViSSOACbwL9g85SLWhIXEMfWR5ns/wubfNk/&#10;GlakMQ85U6KCEq2MlCg4C1GdprZTcHqqHw3ys/WDTr5bMHhnFrxY8GGb5rNOIYrYOU2KHDJT4ZvA&#10;lR1I+Oej8PLgWAI/BsNw4o9GnCVgC8IbnwrjiWn/crKz7qPUFEjsH6xr65bCiVRPO+xrqHFWlVDC&#10;Dx7zWcNCfzLsinz0Cc58cvC59AAtjlEgQvhGoOGJm8/6QAB72wMTeY81OagOLJyYwPHwSZ9aW9QF&#10;kQP5dYBYIAR4IbM3nAEgOhO13rn97pIY6PzLnjecQc9vWrK1cIgNc+CRNdABqBXL8UDIKr2Xa00e&#10;7qJ0kOvFWqpTL9SL0PU1bM3wBuYhbsfcCPmkskqvirKk0pYKEY2u/TFBsbosUjQiGmu2m3lp2F7g&#10;UNOnE+3MzeidSilYLkW67M5OFGV7huQlaQxd2CmB/UhT+2viT5bj5TgaROH1chD5i8XgfjWPBter&#10;4Ga0GC7m80XwG6EF0TQv0lQqRNdvkCD6uwntdlk7+8cdcsbijOyKPq/JeucwSGTg0n8TO5pXHNF2&#10;pjc6fYZxNbpdibDC4ZBr85OzBtZhzO2PnTCSs/KTgn0zCaII9yddotENtAgzp5bNqUWoBELF3HHo&#10;dDzOXbtzd7UptjlkCqisSt/DmsgKHGfC16LqLrDyiEG3nnGnnt7J6+VPZPYHAAD//wMAUEsDBBQA&#10;BgAIAAAAIQBTmJsq3AAAAAkBAAAPAAAAZHJzL2Rvd25yZXYueG1sTI/BTsMwDIbvSLxDZCRuLFmn&#10;UVaaTgiJA8eNTuKYNl5T0Tilybbu7TEnOP72p9+fy+3sB3HGKfaBNCwXCgRSG2xPnYb64+3hCURM&#10;hqwZAqGGK0bYVrc3pSlsuNAOz/vUCS6hWBgNLqWxkDK2Dr2JizAi8e4YJm8Sx6mTdjIXLveDzJR6&#10;lN70xBecGfHVYfu1P3kNUX1j29Wfu+vB9c17vVHy4JTW93fzyzOIhHP6g+FXn9WhYqcmnMhGMXBe&#10;rjJGNWTrHAQDqyxbg2h4kOcgq1L+/6D6AQAA//8DAFBLAQItABQABgAIAAAAIQC2gziS/gAAAOEB&#10;AAATAAAAAAAAAAAAAAAAAAAAAABbQ29udGVudF9UeXBlc10ueG1sUEsBAi0AFAAGAAgAAAAhADj9&#10;If/WAAAAlAEAAAsAAAAAAAAAAAAAAAAALwEAAF9yZWxzLy5yZWxzUEsBAi0AFAAGAAgAAAAhAJ8m&#10;YwP4AgAAjAYAAA4AAAAAAAAAAAAAAAAALgIAAGRycy9lMm9Eb2MueG1sUEsBAi0AFAAGAAgAAAAh&#10;AFOYmyrcAAAACQEAAA8AAAAAAAAAAAAAAAAAUgUAAGRycy9kb3ducmV2LnhtbFBLBQYAAAAABAAE&#10;APMAAABbBgAAAAA=&#10;" o:allowincell="f" filled="f" strokeweight=".15578mm">
                <v:path arrowok="t" o:connecttype="custom" o:connectlocs="0,0;1328420,0" o:connectangles="0,0"/>
                <w10:wrap type="topAndBottom" anchorx="page"/>
              </v:polyline>
            </w:pict>
          </mc:Fallback>
        </mc:AlternateContent>
      </w:r>
    </w:p>
    <w:p w:rsidR="00000000" w:rsidRDefault="00056966">
      <w:pPr>
        <w:pStyle w:val="BodyText"/>
        <w:kinsoku w:val="0"/>
        <w:overflowPunct w:val="0"/>
        <w:ind w:left="0"/>
        <w:rPr>
          <w:sz w:val="20"/>
          <w:szCs w:val="20"/>
        </w:rPr>
      </w:pPr>
    </w:p>
    <w:p w:rsidR="00056966" w:rsidRDefault="00E00248">
      <w:pPr>
        <w:pStyle w:val="BodyText"/>
        <w:kinsoku w:val="0"/>
        <w:overflowPunct w:val="0"/>
        <w:spacing w:before="10"/>
        <w:ind w:left="0"/>
        <w:rPr>
          <w:sz w:val="15"/>
          <w:szCs w:val="15"/>
        </w:rPr>
      </w:pPr>
      <w:r>
        <w:rPr>
          <w:noProof/>
        </w:rPr>
        <mc:AlternateContent>
          <mc:Choice Requires="wps">
            <w:drawing>
              <wp:anchor distT="0" distB="0" distL="0" distR="0" simplePos="0" relativeHeight="251659264" behindDoc="0" locked="0" layoutInCell="0" allowOverlap="1">
                <wp:simplePos x="0" y="0"/>
                <wp:positionH relativeFrom="page">
                  <wp:posOffset>718820</wp:posOffset>
                </wp:positionH>
                <wp:positionV relativeFrom="paragraph">
                  <wp:posOffset>143510</wp:posOffset>
                </wp:positionV>
                <wp:extent cx="1329055" cy="1270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12700"/>
                        </a:xfrm>
                        <a:custGeom>
                          <a:avLst/>
                          <a:gdLst>
                            <a:gd name="T0" fmla="*/ 0 w 2093"/>
                            <a:gd name="T1" fmla="*/ 0 h 20"/>
                            <a:gd name="T2" fmla="*/ 2092 w 2093"/>
                            <a:gd name="T3" fmla="*/ 0 h 20"/>
                          </a:gdLst>
                          <a:ahLst/>
                          <a:cxnLst>
                            <a:cxn ang="0">
                              <a:pos x="T0" y="T1"/>
                            </a:cxn>
                            <a:cxn ang="0">
                              <a:pos x="T2" y="T3"/>
                            </a:cxn>
                          </a:cxnLst>
                          <a:rect l="0" t="0" r="r" b="b"/>
                          <a:pathLst>
                            <a:path w="2093" h="20">
                              <a:moveTo>
                                <a:pt x="0" y="0"/>
                              </a:moveTo>
                              <a:lnTo>
                                <a:pt x="20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5ACE38"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6.6pt,11.3pt,161.2pt,11.3pt" coordsize="2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qx+gIAAIwGAAAOAAAAZHJzL2Uyb0RvYy54bWysVdtu2kAQfa/Uf1jtYyViGwwBFBNFXKpK&#10;aRsp9AMWe42t2rvu7oJJq/57Z8Y2MYkiVVV5MLvMeOacMxdubk9lwY7S2FyriAdXPmdSxTrJ1T7i&#10;37abwZQz64RKRKGVjPiTtPx28f7dTV3N5VBnukikYRBE2XldRTxzrpp7no0zWQp7pSupwJhqUwoH&#10;V7P3EiNqiF4W3tD3J16tTVIZHUtr4ddVY+QLip+mMnZf09RKx4qIAzZHT0PPHT69xY2Y742osjxu&#10;YYh/QFGKXEHSc6iVcIIdTP4qVJnHRluduqtYl55O0zyWxAHYBP4LNo+ZqCRxAXFsdZbJ/r+w8Zfj&#10;g2F5ArXjTIkSSrQxUqLgbITq1JWdg9Nj9WCQn63udfzdgsG7sODFgg/b1Z91AlHEwWlS5JSaEt8E&#10;ruxEwj+dhZcnx2L4MRgNZ/54zFkMtmB47VNhPDHvXo4P1n2UmgKJ4711Td0SOJHqSYt9CzVOywJK&#10;+MFjPqvZ0J8RDajM2QeY9nwy8Gnb4Owx7HlAhOEbgUY9N591gQD2vgMmsg5rfFItWDgxgePhkz6V&#10;tqgLIgfy2wCxQAjwQmZvOANAdCZqnXPz3SYx0Pkve95wBj2/a8hWwiE2zIFHVkectGIZHghZqY9y&#10;q8nDvSgd5Hq2FqrvhXoRuq6GjRnewDzE7ZwbIfcqq/QmLwoqbaEQ0XjiTwmK1UWeoBHRWLPfLQvD&#10;jgKHmj6taBduRh9UQsEyKZJ1e3YiL5ozJC9IY+jCVgnsR5raXzN/tp6up+EgHE7Wg9BfrQZ3m2U4&#10;mGyC6/FqtFouV8FvhBaE8yxPEqkQXbdBgvDvJrTdZc3sn3fIBYsLshv6vCbrXcIgkYFL903saF5x&#10;RJuZ3unkCcbV6GYlwgqHQ6bNT85qWIcRtz8OwkjOik8K9s0sCEPcn3QJx9fQIsz0Lbu+RagYQkXc&#10;ceh0PC5ds3MPlcn3GWQKqKxK38GaSHMcZ8LXoGovsPKIQbuecaf27+T1/Cey+AMAAP//AwBQSwME&#10;FAAGAAgAAAAhAIvokvPcAAAACQEAAA8AAABkcnMvZG93bnJldi54bWxMj8FOwzAMhu9IvENkJG4s&#10;WQYVdE0nhMSB40Yn7Zi2XlPROKXJtu7tMSc4/van35+LzewHccYp9oEMLBcKBFIT2p46A9Xn+8Mz&#10;iJgstXYIhAauGGFT3t4UNm/DhbZ43qVOcAnF3BpwKY25lLFx6G1chBGJd8cweZs4Tp1sJ3vhcj9I&#10;rVQmve2JLzg74pvD5mt38gai+samqw7b69719Uf1ouTeKWPu7+bXNYiEc/qD4Vef1aFkpzqcqI1i&#10;4LxcaUYNaJ2BYGCl9ROImgePGciykP8/KH8AAAD//wMAUEsBAi0AFAAGAAgAAAAhALaDOJL+AAAA&#10;4QEAABMAAAAAAAAAAAAAAAAAAAAAAFtDb250ZW50X1R5cGVzXS54bWxQSwECLQAUAAYACAAAACEA&#10;OP0h/9YAAACUAQAACwAAAAAAAAAAAAAAAAAvAQAAX3JlbHMvLnJlbHNQSwECLQAUAAYACAAAACEA&#10;L+dqsfoCAACMBgAADgAAAAAAAAAAAAAAAAAuAgAAZHJzL2Uyb0RvYy54bWxQSwECLQAUAAYACAAA&#10;ACEAi+iS89wAAAAJAQAADwAAAAAAAAAAAAAAAABUBQAAZHJzL2Rvd25yZXYueG1sUEsFBgAAAAAE&#10;AAQA8wAAAF0GAAAAAA==&#10;" o:allowincell="f" filled="f" strokeweight=".15578mm">
                <v:path arrowok="t" o:connecttype="custom" o:connectlocs="0,0;1328420,0" o:connectangles="0,0"/>
                <w10:wrap type="topAndBottom" anchorx="page"/>
              </v:polyline>
            </w:pict>
          </mc:Fallback>
        </mc:AlternateContent>
      </w:r>
    </w:p>
    <w:sectPr w:rsidR="00056966">
      <w:pgSz w:w="11910" w:h="16840"/>
      <w:pgMar w:top="1320" w:right="1020" w:bottom="280" w:left="1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112" w:hanging="288"/>
      </w:pPr>
      <w:rPr>
        <w:rFonts w:ascii="Times New Roman" w:hAnsi="Times New Roman" w:cs="Times New Roman"/>
        <w:b w:val="0"/>
        <w:bCs w:val="0"/>
        <w:spacing w:val="-2"/>
        <w:w w:val="100"/>
        <w:sz w:val="22"/>
        <w:szCs w:val="22"/>
      </w:rPr>
    </w:lvl>
    <w:lvl w:ilvl="1">
      <w:numFmt w:val="bullet"/>
      <w:lvlText w:val="•"/>
      <w:lvlJc w:val="left"/>
      <w:pPr>
        <w:ind w:left="1094" w:hanging="288"/>
      </w:pPr>
    </w:lvl>
    <w:lvl w:ilvl="2">
      <w:numFmt w:val="bullet"/>
      <w:lvlText w:val="•"/>
      <w:lvlJc w:val="left"/>
      <w:pPr>
        <w:ind w:left="2069" w:hanging="288"/>
      </w:pPr>
    </w:lvl>
    <w:lvl w:ilvl="3">
      <w:numFmt w:val="bullet"/>
      <w:lvlText w:val="•"/>
      <w:lvlJc w:val="left"/>
      <w:pPr>
        <w:ind w:left="3043" w:hanging="288"/>
      </w:pPr>
    </w:lvl>
    <w:lvl w:ilvl="4">
      <w:numFmt w:val="bullet"/>
      <w:lvlText w:val="•"/>
      <w:lvlJc w:val="left"/>
      <w:pPr>
        <w:ind w:left="4018" w:hanging="288"/>
      </w:pPr>
    </w:lvl>
    <w:lvl w:ilvl="5">
      <w:numFmt w:val="bullet"/>
      <w:lvlText w:val="•"/>
      <w:lvlJc w:val="left"/>
      <w:pPr>
        <w:ind w:left="4993" w:hanging="288"/>
      </w:pPr>
    </w:lvl>
    <w:lvl w:ilvl="6">
      <w:numFmt w:val="bullet"/>
      <w:lvlText w:val="•"/>
      <w:lvlJc w:val="left"/>
      <w:pPr>
        <w:ind w:left="5967" w:hanging="288"/>
      </w:pPr>
    </w:lvl>
    <w:lvl w:ilvl="7">
      <w:numFmt w:val="bullet"/>
      <w:lvlText w:val="•"/>
      <w:lvlJc w:val="left"/>
      <w:pPr>
        <w:ind w:left="6942" w:hanging="288"/>
      </w:pPr>
    </w:lvl>
    <w:lvl w:ilvl="8">
      <w:numFmt w:val="bullet"/>
      <w:lvlText w:val="•"/>
      <w:lvlJc w:val="left"/>
      <w:pPr>
        <w:ind w:left="7917" w:hanging="288"/>
      </w:pPr>
    </w:lvl>
  </w:abstractNum>
  <w:abstractNum w:abstractNumId="1">
    <w:nsid w:val="00000403"/>
    <w:multiLevelType w:val="multilevel"/>
    <w:tmpl w:val="00000886"/>
    <w:lvl w:ilvl="0">
      <w:start w:val="3"/>
      <w:numFmt w:val="decimal"/>
      <w:lvlText w:val="%1."/>
      <w:lvlJc w:val="left"/>
      <w:pPr>
        <w:ind w:left="112" w:hanging="255"/>
      </w:pPr>
      <w:rPr>
        <w:rFonts w:ascii="Times New Roman" w:hAnsi="Times New Roman" w:cs="Times New Roman"/>
        <w:b/>
        <w:bCs/>
        <w:w w:val="100"/>
        <w:sz w:val="22"/>
        <w:szCs w:val="22"/>
      </w:rPr>
    </w:lvl>
    <w:lvl w:ilvl="1">
      <w:numFmt w:val="bullet"/>
      <w:lvlText w:val="•"/>
      <w:lvlJc w:val="left"/>
      <w:pPr>
        <w:ind w:left="1094" w:hanging="255"/>
      </w:pPr>
    </w:lvl>
    <w:lvl w:ilvl="2">
      <w:numFmt w:val="bullet"/>
      <w:lvlText w:val="•"/>
      <w:lvlJc w:val="left"/>
      <w:pPr>
        <w:ind w:left="2069" w:hanging="255"/>
      </w:pPr>
    </w:lvl>
    <w:lvl w:ilvl="3">
      <w:numFmt w:val="bullet"/>
      <w:lvlText w:val="•"/>
      <w:lvlJc w:val="left"/>
      <w:pPr>
        <w:ind w:left="3043" w:hanging="255"/>
      </w:pPr>
    </w:lvl>
    <w:lvl w:ilvl="4">
      <w:numFmt w:val="bullet"/>
      <w:lvlText w:val="•"/>
      <w:lvlJc w:val="left"/>
      <w:pPr>
        <w:ind w:left="4018" w:hanging="255"/>
      </w:pPr>
    </w:lvl>
    <w:lvl w:ilvl="5">
      <w:numFmt w:val="bullet"/>
      <w:lvlText w:val="•"/>
      <w:lvlJc w:val="left"/>
      <w:pPr>
        <w:ind w:left="4993" w:hanging="255"/>
      </w:pPr>
    </w:lvl>
    <w:lvl w:ilvl="6">
      <w:numFmt w:val="bullet"/>
      <w:lvlText w:val="•"/>
      <w:lvlJc w:val="left"/>
      <w:pPr>
        <w:ind w:left="5967" w:hanging="255"/>
      </w:pPr>
    </w:lvl>
    <w:lvl w:ilvl="7">
      <w:numFmt w:val="bullet"/>
      <w:lvlText w:val="•"/>
      <w:lvlJc w:val="left"/>
      <w:pPr>
        <w:ind w:left="6942" w:hanging="255"/>
      </w:pPr>
    </w:lvl>
    <w:lvl w:ilvl="8">
      <w:numFmt w:val="bullet"/>
      <w:lvlText w:val="•"/>
      <w:lvlJc w:val="left"/>
      <w:pPr>
        <w:ind w:left="7917" w:hanging="25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8"/>
    <w:rsid w:val="00056966"/>
    <w:rsid w:val="00E0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C4FFD8-0426-4B48-971E-01EF7E3C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paragraph" w:styleId="ListParagraph">
    <w:name w:val="List Paragraph"/>
    <w:basedOn w:val="Normal"/>
    <w:uiPriority w:val="1"/>
    <w:qFormat/>
    <w:pPr>
      <w:spacing w:before="202"/>
      <w:ind w:left="112" w:right="109"/>
      <w:jc w:val="both"/>
    </w:pPr>
  </w:style>
  <w:style w:type="paragraph" w:customStyle="1" w:styleId="TableParagraph">
    <w:name w:val="Table Paragraph"/>
    <w:basedOn w:val="Normal"/>
    <w:uiPriority w:val="1"/>
    <w:qFormat/>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2020-05-09T16:35:00Z</dcterms:created>
  <dcterms:modified xsi:type="dcterms:W3CDTF">2020-05-09T16:35:00Z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