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6B20" w14:textId="77777777" w:rsidR="002054A7" w:rsidRDefault="00697297">
      <w:pPr>
        <w:pStyle w:val="Heading1"/>
        <w:keepNext w:val="0"/>
        <w:keepLines w:val="0"/>
        <w:spacing w:before="480"/>
        <w:jc w:val="center"/>
        <w:rPr>
          <w:rFonts w:ascii="Times New Roman" w:eastAsia="Times New Roman" w:hAnsi="Times New Roman" w:cs="Times New Roman"/>
          <w:b/>
          <w:color w:val="1C4587"/>
          <w:sz w:val="48"/>
          <w:szCs w:val="48"/>
        </w:rPr>
      </w:pPr>
      <w:bookmarkStart w:id="0" w:name="_k9dqfkaevwjw" w:colFirst="0" w:colLast="0"/>
      <w:bookmarkEnd w:id="0"/>
      <w:r>
        <w:rPr>
          <w:rFonts w:ascii="Times New Roman" w:eastAsia="Times New Roman" w:hAnsi="Times New Roman" w:cs="Times New Roman"/>
          <w:b/>
          <w:color w:val="1C4587"/>
          <w:sz w:val="48"/>
          <w:szCs w:val="48"/>
        </w:rPr>
        <w:t>Laboratory COVID19 Response Standard Operating Procedure (LCR-SOP) Template</w:t>
      </w:r>
    </w:p>
    <w:p w14:paraId="798A8091" w14:textId="77777777" w:rsidR="002054A7" w:rsidRDefault="00697297">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(For instructions on completing this SOP template, please refer to</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i/>
          <w:color w:val="FF0000"/>
          <w:sz w:val="24"/>
          <w:szCs w:val="24"/>
        </w:rPr>
        <w:t>Laboratory</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FF0000"/>
          <w:sz w:val="24"/>
          <w:szCs w:val="24"/>
        </w:rPr>
        <w:t>COVID19 Response Standard Operating Procedures Guide</w:t>
      </w:r>
      <w:r>
        <w:rPr>
          <w:rFonts w:ascii="Times New Roman" w:eastAsia="Times New Roman" w:hAnsi="Times New Roman" w:cs="Times New Roman"/>
          <w:color w:val="FF0000"/>
          <w:sz w:val="24"/>
          <w:szCs w:val="24"/>
        </w:rPr>
        <w:t>)</w:t>
      </w:r>
    </w:p>
    <w:p w14:paraId="517321A0" w14:textId="77777777" w:rsidR="002054A7" w:rsidRDefault="002054A7">
      <w:pPr>
        <w:rPr>
          <w:b/>
          <w:color w:val="1C4587"/>
          <w:sz w:val="36"/>
          <w:szCs w:val="36"/>
        </w:rPr>
      </w:pPr>
    </w:p>
    <w:p w14:paraId="48DDE725" w14:textId="77777777" w:rsidR="002054A7" w:rsidRDefault="00697297">
      <w:pPr>
        <w:rPr>
          <w:rFonts w:ascii="Times New Roman" w:eastAsia="Times New Roman" w:hAnsi="Times New Roman" w:cs="Times New Roman"/>
          <w:b/>
          <w:color w:val="1C4587"/>
          <w:sz w:val="36"/>
          <w:szCs w:val="36"/>
        </w:rPr>
      </w:pPr>
      <w:r>
        <w:rPr>
          <w:rFonts w:ascii="Times New Roman" w:eastAsia="Times New Roman" w:hAnsi="Times New Roman" w:cs="Times New Roman"/>
          <w:b/>
          <w:color w:val="1C4587"/>
          <w:sz w:val="36"/>
          <w:szCs w:val="36"/>
        </w:rPr>
        <w:t>A. General Information</w:t>
      </w:r>
    </w:p>
    <w:p w14:paraId="03F93F20" w14:textId="77777777" w:rsidR="002054A7" w:rsidRDefault="002054A7">
      <w:pPr>
        <w:rPr>
          <w:rFonts w:ascii="Times New Roman" w:eastAsia="Times New Roman" w:hAnsi="Times New Roman" w:cs="Times New Roman"/>
          <w:b/>
          <w:color w:val="1C4587"/>
          <w:sz w:val="36"/>
          <w:szCs w:val="36"/>
        </w:rPr>
      </w:pPr>
    </w:p>
    <w:tbl>
      <w:tblPr>
        <w:tblStyle w:val="a"/>
        <w:tblW w:w="8388"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45"/>
        <w:gridCol w:w="5143"/>
      </w:tblGrid>
      <w:tr w:rsidR="002054A7" w14:paraId="48D84E93" w14:textId="77777777" w:rsidTr="00975441">
        <w:trPr>
          <w:trHeight w:val="398"/>
        </w:trPr>
        <w:tc>
          <w:tcPr>
            <w:tcW w:w="3245" w:type="dxa"/>
            <w:tcMar>
              <w:top w:w="100" w:type="dxa"/>
              <w:left w:w="100" w:type="dxa"/>
              <w:bottom w:w="100" w:type="dxa"/>
              <w:right w:w="100" w:type="dxa"/>
            </w:tcMar>
          </w:tcPr>
          <w:p w14:paraId="0BF76972"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5143" w:type="dxa"/>
            <w:tcMar>
              <w:top w:w="100" w:type="dxa"/>
              <w:left w:w="100" w:type="dxa"/>
              <w:bottom w:w="100" w:type="dxa"/>
              <w:right w:w="100" w:type="dxa"/>
            </w:tcMar>
          </w:tcPr>
          <w:p w14:paraId="2D950472" w14:textId="77777777" w:rsidR="002054A7" w:rsidRDefault="002054A7">
            <w:pPr>
              <w:spacing w:line="240" w:lineRule="auto"/>
              <w:rPr>
                <w:rFonts w:ascii="Times New Roman" w:eastAsia="Times New Roman" w:hAnsi="Times New Roman" w:cs="Times New Roman"/>
                <w:sz w:val="24"/>
                <w:szCs w:val="24"/>
              </w:rPr>
            </w:pPr>
          </w:p>
        </w:tc>
      </w:tr>
      <w:tr w:rsidR="002054A7" w14:paraId="1C3E7BE9" w14:textId="77777777" w:rsidTr="00975441">
        <w:trPr>
          <w:trHeight w:val="423"/>
        </w:trPr>
        <w:tc>
          <w:tcPr>
            <w:tcW w:w="3245" w:type="dxa"/>
            <w:tcMar>
              <w:top w:w="100" w:type="dxa"/>
              <w:left w:w="100" w:type="dxa"/>
              <w:bottom w:w="100" w:type="dxa"/>
              <w:right w:w="100" w:type="dxa"/>
            </w:tcMar>
          </w:tcPr>
          <w:p w14:paraId="2D4B29FB"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Laboratory Manager Name</w:t>
            </w:r>
          </w:p>
        </w:tc>
        <w:tc>
          <w:tcPr>
            <w:tcW w:w="5143" w:type="dxa"/>
            <w:tcMar>
              <w:top w:w="100" w:type="dxa"/>
              <w:left w:w="100" w:type="dxa"/>
              <w:bottom w:w="100" w:type="dxa"/>
              <w:right w:w="100" w:type="dxa"/>
            </w:tcMar>
          </w:tcPr>
          <w:p w14:paraId="37964E16"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2054A7" w14:paraId="43FF5EF7" w14:textId="77777777" w:rsidTr="00975441">
        <w:trPr>
          <w:trHeight w:val="622"/>
        </w:trPr>
        <w:tc>
          <w:tcPr>
            <w:tcW w:w="3245" w:type="dxa"/>
            <w:tcMar>
              <w:top w:w="100" w:type="dxa"/>
              <w:left w:w="100" w:type="dxa"/>
              <w:bottom w:w="100" w:type="dxa"/>
              <w:right w:w="100" w:type="dxa"/>
            </w:tcMar>
          </w:tcPr>
          <w:p w14:paraId="24244BEC"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Laboratory Manager(s) Contact Information (phone, email)</w:t>
            </w:r>
          </w:p>
        </w:tc>
        <w:tc>
          <w:tcPr>
            <w:tcW w:w="5143" w:type="dxa"/>
            <w:tcMar>
              <w:top w:w="100" w:type="dxa"/>
              <w:left w:w="100" w:type="dxa"/>
              <w:bottom w:w="100" w:type="dxa"/>
              <w:right w:w="100" w:type="dxa"/>
            </w:tcMar>
          </w:tcPr>
          <w:p w14:paraId="1F817201"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2054A7" w14:paraId="3F47F034" w14:textId="77777777" w:rsidTr="00975441">
        <w:trPr>
          <w:trHeight w:val="473"/>
        </w:trPr>
        <w:tc>
          <w:tcPr>
            <w:tcW w:w="3245" w:type="dxa"/>
            <w:tcMar>
              <w:top w:w="100" w:type="dxa"/>
              <w:left w:w="100" w:type="dxa"/>
              <w:bottom w:w="100" w:type="dxa"/>
              <w:right w:w="100" w:type="dxa"/>
            </w:tcMar>
          </w:tcPr>
          <w:p w14:paraId="36EAF1F6"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Laboratory Safety Contact</w:t>
            </w:r>
          </w:p>
        </w:tc>
        <w:tc>
          <w:tcPr>
            <w:tcW w:w="5143" w:type="dxa"/>
            <w:tcMar>
              <w:top w:w="100" w:type="dxa"/>
              <w:left w:w="100" w:type="dxa"/>
              <w:bottom w:w="100" w:type="dxa"/>
              <w:right w:w="100" w:type="dxa"/>
            </w:tcMar>
          </w:tcPr>
          <w:p w14:paraId="6E51481A"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2054A7" w14:paraId="3176E3F0" w14:textId="77777777" w:rsidTr="00975441">
        <w:trPr>
          <w:trHeight w:val="347"/>
        </w:trPr>
        <w:tc>
          <w:tcPr>
            <w:tcW w:w="3245" w:type="dxa"/>
            <w:tcMar>
              <w:top w:w="100" w:type="dxa"/>
              <w:left w:w="100" w:type="dxa"/>
              <w:bottom w:w="100" w:type="dxa"/>
              <w:right w:w="100" w:type="dxa"/>
            </w:tcMar>
          </w:tcPr>
          <w:p w14:paraId="45D6BDF4"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Laboratory Phone</w:t>
            </w:r>
          </w:p>
        </w:tc>
        <w:tc>
          <w:tcPr>
            <w:tcW w:w="5143" w:type="dxa"/>
            <w:tcMar>
              <w:top w:w="100" w:type="dxa"/>
              <w:left w:w="100" w:type="dxa"/>
              <w:bottom w:w="100" w:type="dxa"/>
              <w:right w:w="100" w:type="dxa"/>
            </w:tcMar>
          </w:tcPr>
          <w:p w14:paraId="5A4202EB"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r>
      <w:tr w:rsidR="002054A7" w14:paraId="6222C691" w14:textId="77777777" w:rsidTr="00975441">
        <w:trPr>
          <w:trHeight w:val="385"/>
        </w:trPr>
        <w:tc>
          <w:tcPr>
            <w:tcW w:w="3245" w:type="dxa"/>
            <w:tcMar>
              <w:top w:w="100" w:type="dxa"/>
              <w:left w:w="100" w:type="dxa"/>
              <w:bottom w:w="100" w:type="dxa"/>
              <w:right w:w="100" w:type="dxa"/>
            </w:tcMar>
          </w:tcPr>
          <w:p w14:paraId="39133D9D"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w:t>
            </w:r>
          </w:p>
        </w:tc>
        <w:tc>
          <w:tcPr>
            <w:tcW w:w="5143" w:type="dxa"/>
            <w:tcMar>
              <w:top w:w="100" w:type="dxa"/>
              <w:left w:w="100" w:type="dxa"/>
              <w:bottom w:w="100" w:type="dxa"/>
              <w:right w:w="100" w:type="dxa"/>
            </w:tcMar>
          </w:tcPr>
          <w:p w14:paraId="322F7831"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r>
      <w:tr w:rsidR="002054A7" w14:paraId="4956737D" w14:textId="77777777" w:rsidTr="00975441">
        <w:trPr>
          <w:trHeight w:val="423"/>
        </w:trPr>
        <w:tc>
          <w:tcPr>
            <w:tcW w:w="3245" w:type="dxa"/>
            <w:tcMar>
              <w:top w:w="100" w:type="dxa"/>
              <w:left w:w="100" w:type="dxa"/>
              <w:bottom w:w="100" w:type="dxa"/>
              <w:right w:w="100" w:type="dxa"/>
            </w:tcMar>
          </w:tcPr>
          <w:p w14:paraId="6B288F8D"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 Room Number/s</w:t>
            </w:r>
          </w:p>
        </w:tc>
        <w:tc>
          <w:tcPr>
            <w:tcW w:w="5143" w:type="dxa"/>
            <w:tcMar>
              <w:top w:w="100" w:type="dxa"/>
              <w:left w:w="100" w:type="dxa"/>
              <w:bottom w:w="100" w:type="dxa"/>
              <w:right w:w="100" w:type="dxa"/>
            </w:tcMar>
          </w:tcPr>
          <w:p w14:paraId="0E17FD20"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2054A7" w14:paraId="3381A203" w14:textId="77777777" w:rsidTr="00975441">
        <w:trPr>
          <w:trHeight w:val="622"/>
        </w:trPr>
        <w:tc>
          <w:tcPr>
            <w:tcW w:w="3245" w:type="dxa"/>
            <w:tcMar>
              <w:top w:w="100" w:type="dxa"/>
              <w:left w:w="100" w:type="dxa"/>
              <w:bottom w:w="100" w:type="dxa"/>
              <w:right w:w="100" w:type="dxa"/>
            </w:tcMar>
          </w:tcPr>
          <w:p w14:paraId="14996B76"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Contact Name and Contact Information (phone, email)</w:t>
            </w:r>
          </w:p>
        </w:tc>
        <w:tc>
          <w:tcPr>
            <w:tcW w:w="5143" w:type="dxa"/>
            <w:tcMar>
              <w:top w:w="100" w:type="dxa"/>
              <w:left w:w="100" w:type="dxa"/>
              <w:bottom w:w="100" w:type="dxa"/>
              <w:right w:w="100" w:type="dxa"/>
            </w:tcMar>
          </w:tcPr>
          <w:p w14:paraId="5CBC5AAB"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0EF32EE" w14:textId="77777777" w:rsidR="002054A7" w:rsidRDefault="002054A7">
            <w:pPr>
              <w:spacing w:line="240" w:lineRule="auto"/>
              <w:rPr>
                <w:rFonts w:ascii="Times New Roman" w:eastAsia="Times New Roman" w:hAnsi="Times New Roman" w:cs="Times New Roman"/>
                <w:sz w:val="24"/>
                <w:szCs w:val="24"/>
              </w:rPr>
            </w:pPr>
          </w:p>
        </w:tc>
      </w:tr>
      <w:tr w:rsidR="002054A7" w14:paraId="507569DA" w14:textId="77777777" w:rsidTr="00975441">
        <w:trPr>
          <w:trHeight w:val="635"/>
        </w:trPr>
        <w:tc>
          <w:tcPr>
            <w:tcW w:w="3245" w:type="dxa"/>
            <w:tcMar>
              <w:top w:w="100" w:type="dxa"/>
              <w:left w:w="100" w:type="dxa"/>
              <w:bottom w:w="100" w:type="dxa"/>
              <w:right w:w="100" w:type="dxa"/>
            </w:tcMar>
          </w:tcPr>
          <w:p w14:paraId="0F3126DB"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Contact Information (Phone, Email)</w:t>
            </w:r>
          </w:p>
        </w:tc>
        <w:tc>
          <w:tcPr>
            <w:tcW w:w="5143" w:type="dxa"/>
            <w:tcMar>
              <w:top w:w="100" w:type="dxa"/>
              <w:left w:w="100" w:type="dxa"/>
              <w:bottom w:w="100" w:type="dxa"/>
              <w:right w:w="100" w:type="dxa"/>
            </w:tcMar>
          </w:tcPr>
          <w:p w14:paraId="6BAC6A42" w14:textId="77777777" w:rsidR="002054A7" w:rsidRDefault="002054A7">
            <w:pPr>
              <w:spacing w:line="240" w:lineRule="auto"/>
              <w:rPr>
                <w:rFonts w:ascii="Times New Roman" w:eastAsia="Times New Roman" w:hAnsi="Times New Roman" w:cs="Times New Roman"/>
                <w:sz w:val="24"/>
                <w:szCs w:val="24"/>
              </w:rPr>
            </w:pPr>
          </w:p>
        </w:tc>
      </w:tr>
      <w:tr w:rsidR="002054A7" w14:paraId="21D18470" w14:textId="77777777" w:rsidTr="00975441">
        <w:trPr>
          <w:trHeight w:val="435"/>
        </w:trPr>
        <w:tc>
          <w:tcPr>
            <w:tcW w:w="3245" w:type="dxa"/>
            <w:tcMar>
              <w:top w:w="100" w:type="dxa"/>
              <w:left w:w="100" w:type="dxa"/>
              <w:bottom w:w="100" w:type="dxa"/>
              <w:right w:w="100" w:type="dxa"/>
            </w:tcMar>
          </w:tcPr>
          <w:p w14:paraId="436A9E0C"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SOP was written</w:t>
            </w:r>
          </w:p>
        </w:tc>
        <w:tc>
          <w:tcPr>
            <w:tcW w:w="5143" w:type="dxa"/>
            <w:tcMar>
              <w:top w:w="100" w:type="dxa"/>
              <w:left w:w="100" w:type="dxa"/>
              <w:bottom w:w="100" w:type="dxa"/>
              <w:right w:w="100" w:type="dxa"/>
            </w:tcMar>
          </w:tcPr>
          <w:p w14:paraId="6C3E01A2"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r>
      <w:tr w:rsidR="002054A7" w14:paraId="25749433" w14:textId="77777777" w:rsidTr="00975441">
        <w:trPr>
          <w:trHeight w:val="460"/>
        </w:trPr>
        <w:tc>
          <w:tcPr>
            <w:tcW w:w="3245" w:type="dxa"/>
            <w:tcMar>
              <w:top w:w="100" w:type="dxa"/>
              <w:left w:w="100" w:type="dxa"/>
              <w:bottom w:w="100" w:type="dxa"/>
              <w:right w:w="100" w:type="dxa"/>
            </w:tcMar>
          </w:tcPr>
          <w:p w14:paraId="7DD27568"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SOP was approved by PI</w:t>
            </w:r>
          </w:p>
        </w:tc>
        <w:tc>
          <w:tcPr>
            <w:tcW w:w="5143" w:type="dxa"/>
            <w:tcMar>
              <w:top w:w="100" w:type="dxa"/>
              <w:left w:w="100" w:type="dxa"/>
              <w:bottom w:w="100" w:type="dxa"/>
              <w:right w:w="100" w:type="dxa"/>
            </w:tcMar>
          </w:tcPr>
          <w:p w14:paraId="0DEF03E1"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2054A7" w14:paraId="160EEF57" w14:textId="77777777" w:rsidTr="00975441">
        <w:trPr>
          <w:trHeight w:val="498"/>
        </w:trPr>
        <w:tc>
          <w:tcPr>
            <w:tcW w:w="3245" w:type="dxa"/>
            <w:tcMar>
              <w:top w:w="100" w:type="dxa"/>
              <w:left w:w="100" w:type="dxa"/>
              <w:bottom w:w="100" w:type="dxa"/>
              <w:right w:w="100" w:type="dxa"/>
            </w:tcMar>
          </w:tcPr>
          <w:p w14:paraId="04662A9E" w14:textId="47FAD8B3"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SOP approved</w:t>
            </w:r>
            <w:r w:rsidR="00975441">
              <w:rPr>
                <w:rFonts w:ascii="Times New Roman" w:eastAsia="Times New Roman" w:hAnsi="Times New Roman" w:cs="Times New Roman"/>
                <w:sz w:val="24"/>
                <w:szCs w:val="24"/>
              </w:rPr>
              <w:t xml:space="preserve"> by Reviewer</w:t>
            </w:r>
          </w:p>
        </w:tc>
        <w:tc>
          <w:tcPr>
            <w:tcW w:w="5143" w:type="dxa"/>
            <w:tcMar>
              <w:top w:w="100" w:type="dxa"/>
              <w:left w:w="100" w:type="dxa"/>
              <w:bottom w:w="100" w:type="dxa"/>
              <w:right w:w="100" w:type="dxa"/>
            </w:tcMar>
          </w:tcPr>
          <w:p w14:paraId="5E7DAAD1" w14:textId="77777777" w:rsidR="002054A7" w:rsidRDefault="0069729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r>
    </w:tbl>
    <w:p w14:paraId="72199F77" w14:textId="77777777" w:rsidR="002054A7" w:rsidRDefault="002054A7">
      <w:pPr>
        <w:rPr>
          <w:rFonts w:ascii="Times New Roman" w:eastAsia="Times New Roman" w:hAnsi="Times New Roman" w:cs="Times New Roman"/>
          <w:sz w:val="24"/>
          <w:szCs w:val="24"/>
        </w:rPr>
      </w:pPr>
    </w:p>
    <w:p w14:paraId="5C0794AF" w14:textId="77777777" w:rsidR="002054A7" w:rsidRDefault="00697297">
      <w:pPr>
        <w:pStyle w:val="Heading2"/>
        <w:keepNext w:val="0"/>
        <w:keepLines w:val="0"/>
        <w:spacing w:after="80"/>
        <w:rPr>
          <w:rFonts w:ascii="Times New Roman" w:eastAsia="Times New Roman" w:hAnsi="Times New Roman" w:cs="Times New Roman"/>
          <w:b/>
          <w:color w:val="1C4587"/>
          <w:sz w:val="36"/>
          <w:szCs w:val="36"/>
        </w:rPr>
      </w:pPr>
      <w:bookmarkStart w:id="1" w:name="_b969elpc1b4h" w:colFirst="0" w:colLast="0"/>
      <w:bookmarkEnd w:id="1"/>
      <w:r>
        <w:rPr>
          <w:rFonts w:ascii="Times New Roman" w:eastAsia="Times New Roman" w:hAnsi="Times New Roman" w:cs="Times New Roman"/>
          <w:b/>
          <w:color w:val="1C4587"/>
          <w:sz w:val="36"/>
          <w:szCs w:val="36"/>
        </w:rPr>
        <w:t>B. Definitions and Key Concepts</w:t>
      </w:r>
    </w:p>
    <w:p w14:paraId="29DFF28A" w14:textId="77777777" w:rsidR="002054A7" w:rsidRDefault="00697297">
      <w:pPr>
        <w:spacing w:before="240"/>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 xml:space="preserve">Guidance: This section should define key terms and list key tools, instruments, and features. The definitions should be very specific and eliminate any confusion between lab spaces for teaching and la spaces for research. Please retain University definitions of Personnel, Research Activity, and University Research Labs. </w:t>
      </w:r>
      <w:r>
        <w:rPr>
          <w:rFonts w:ascii="Times New Roman" w:eastAsia="Times New Roman" w:hAnsi="Times New Roman" w:cs="Times New Roman"/>
          <w:b/>
          <w:i/>
          <w:color w:val="FF0000"/>
          <w:sz w:val="24"/>
          <w:szCs w:val="24"/>
        </w:rPr>
        <w:t>Add additional key definitions and concepts appropriate for your lab</w:t>
      </w:r>
      <w:r>
        <w:rPr>
          <w:rFonts w:ascii="Times New Roman" w:eastAsia="Times New Roman" w:hAnsi="Times New Roman" w:cs="Times New Roman"/>
          <w:i/>
          <w:color w:val="FF0000"/>
          <w:sz w:val="24"/>
          <w:szCs w:val="24"/>
        </w:rPr>
        <w:t>.</w:t>
      </w:r>
    </w:p>
    <w:p w14:paraId="0F68605E" w14:textId="72A73549" w:rsidR="002054A7" w:rsidRDefault="00697297">
      <w:pPr>
        <w:spacing w:after="80"/>
        <w:rPr>
          <w:rFonts w:ascii="Times New Roman" w:eastAsia="Times New Roman" w:hAnsi="Times New Roman" w:cs="Times New Roman"/>
          <w:sz w:val="24"/>
          <w:szCs w:val="24"/>
        </w:rPr>
      </w:pPr>
      <w:r>
        <w:rPr>
          <w:rFonts w:ascii="Times New Roman" w:eastAsia="Times New Roman" w:hAnsi="Times New Roman" w:cs="Times New Roman"/>
          <w:color w:val="1C4587"/>
          <w:sz w:val="24"/>
          <w:szCs w:val="24"/>
        </w:rPr>
        <w:t>(</w:t>
      </w:r>
      <w:r>
        <w:rPr>
          <w:rFonts w:ascii="Times New Roman" w:eastAsia="Times New Roman" w:hAnsi="Times New Roman" w:cs="Times New Roman"/>
          <w:b/>
          <w:color w:val="1C4587"/>
          <w:sz w:val="24"/>
          <w:szCs w:val="24"/>
        </w:rPr>
        <w:t xml:space="preserve">See section B </w:t>
      </w:r>
      <w:r w:rsidR="001D09DC">
        <w:rPr>
          <w:rFonts w:ascii="Times New Roman" w:eastAsia="Times New Roman" w:hAnsi="Times New Roman" w:cs="Times New Roman"/>
          <w:b/>
          <w:color w:val="1C4587"/>
          <w:sz w:val="24"/>
          <w:szCs w:val="24"/>
        </w:rPr>
        <w:t xml:space="preserve">page </w:t>
      </w:r>
      <w:r w:rsidR="000C4C51">
        <w:rPr>
          <w:rFonts w:ascii="Times New Roman" w:eastAsia="Times New Roman" w:hAnsi="Times New Roman" w:cs="Times New Roman"/>
          <w:b/>
          <w:color w:val="1C4587"/>
          <w:sz w:val="24"/>
          <w:szCs w:val="24"/>
        </w:rPr>
        <w:t>1</w:t>
      </w:r>
      <w:r w:rsidR="001D09DC">
        <w:rPr>
          <w:rFonts w:ascii="Times New Roman" w:eastAsia="Times New Roman" w:hAnsi="Times New Roman" w:cs="Times New Roman"/>
          <w:b/>
          <w:color w:val="1C4587"/>
          <w:sz w:val="24"/>
          <w:szCs w:val="24"/>
        </w:rPr>
        <w:t xml:space="preserve"> i</w:t>
      </w:r>
      <w:r>
        <w:rPr>
          <w:rFonts w:ascii="Times New Roman" w:eastAsia="Times New Roman" w:hAnsi="Times New Roman" w:cs="Times New Roman"/>
          <w:b/>
          <w:color w:val="1C4587"/>
          <w:sz w:val="24"/>
          <w:szCs w:val="24"/>
        </w:rPr>
        <w:t>n SOP Guide</w:t>
      </w:r>
      <w:r>
        <w:rPr>
          <w:rFonts w:ascii="Times New Roman" w:eastAsia="Times New Roman" w:hAnsi="Times New Roman" w:cs="Times New Roman"/>
          <w:color w:val="1C4587"/>
          <w:sz w:val="24"/>
          <w:szCs w:val="24"/>
        </w:rPr>
        <w:t>)</w:t>
      </w:r>
    </w:p>
    <w:p w14:paraId="3245AD86" w14:textId="77777777" w:rsidR="002054A7" w:rsidRDefault="00697297">
      <w:pPr>
        <w:numPr>
          <w:ilvl w:val="0"/>
          <w:numId w:val="5"/>
        </w:numPr>
        <w:rPr>
          <w:rFonts w:ascii="Times New Roman" w:eastAsia="Times New Roman" w:hAnsi="Times New Roman" w:cs="Times New Roman"/>
        </w:rPr>
      </w:pPr>
      <w:r>
        <w:rPr>
          <w:rFonts w:ascii="Times New Roman" w:eastAsia="Times New Roman" w:hAnsi="Times New Roman" w:cs="Times New Roman"/>
          <w:b/>
          <w:sz w:val="28"/>
          <w:szCs w:val="28"/>
        </w:rPr>
        <w:t>Additional Key Definitions and Concepts</w:t>
      </w:r>
      <w:r>
        <w:br w:type="page"/>
      </w:r>
    </w:p>
    <w:p w14:paraId="361EAA13" w14:textId="77777777" w:rsidR="002054A7" w:rsidRDefault="00697297">
      <w:pPr>
        <w:spacing w:after="80"/>
        <w:rPr>
          <w:rFonts w:ascii="Times New Roman" w:eastAsia="Times New Roman" w:hAnsi="Times New Roman" w:cs="Times New Roman"/>
          <w:i/>
          <w:color w:val="FF0000"/>
          <w:sz w:val="24"/>
          <w:szCs w:val="24"/>
        </w:rPr>
      </w:pPr>
      <w:r>
        <w:rPr>
          <w:rFonts w:ascii="Times New Roman" w:eastAsia="Times New Roman" w:hAnsi="Times New Roman" w:cs="Times New Roman"/>
          <w:b/>
          <w:color w:val="1C4587"/>
          <w:sz w:val="36"/>
          <w:szCs w:val="36"/>
        </w:rPr>
        <w:lastRenderedPageBreak/>
        <w:t xml:space="preserve">C. Roles and Responsibilities </w:t>
      </w:r>
      <w:r>
        <w:rPr>
          <w:rFonts w:ascii="Times New Roman" w:eastAsia="Times New Roman" w:hAnsi="Times New Roman" w:cs="Times New Roman"/>
          <w:b/>
          <w:color w:val="1C4587"/>
          <w:sz w:val="36"/>
          <w:szCs w:val="36"/>
        </w:rPr>
        <w:br/>
      </w:r>
      <w:r>
        <w:rPr>
          <w:rFonts w:ascii="Times New Roman" w:eastAsia="Times New Roman" w:hAnsi="Times New Roman" w:cs="Times New Roman"/>
          <w:i/>
          <w:color w:val="FF0000"/>
          <w:sz w:val="24"/>
          <w:szCs w:val="24"/>
        </w:rPr>
        <w:t>Guidance: This section should explain the roles and responsibilities in maintaining, surveilling, and reporting safety of facilities and personnel defined. The following definitions are examples that can be edited. Please add additional stakeholders as they pertain to your lab.</w:t>
      </w:r>
    </w:p>
    <w:p w14:paraId="516F5DD0" w14:textId="02617EF6" w:rsidR="002054A7" w:rsidRDefault="00697297">
      <w:pPr>
        <w:spacing w:after="80"/>
        <w:rPr>
          <w:rFonts w:ascii="Times New Roman" w:eastAsia="Times New Roman" w:hAnsi="Times New Roman" w:cs="Times New Roman"/>
          <w:color w:val="1C4587"/>
          <w:sz w:val="24"/>
          <w:szCs w:val="24"/>
        </w:rPr>
      </w:pPr>
      <w:r>
        <w:rPr>
          <w:rFonts w:ascii="Times New Roman" w:eastAsia="Times New Roman" w:hAnsi="Times New Roman" w:cs="Times New Roman"/>
          <w:color w:val="1C4587"/>
          <w:sz w:val="24"/>
          <w:szCs w:val="24"/>
        </w:rPr>
        <w:t>(</w:t>
      </w:r>
      <w:r>
        <w:rPr>
          <w:rFonts w:ascii="Times New Roman" w:eastAsia="Times New Roman" w:hAnsi="Times New Roman" w:cs="Times New Roman"/>
          <w:b/>
          <w:color w:val="1C4587"/>
          <w:sz w:val="24"/>
          <w:szCs w:val="24"/>
        </w:rPr>
        <w:t>See section C</w:t>
      </w:r>
      <w:r w:rsidR="001D09DC">
        <w:rPr>
          <w:rFonts w:ascii="Times New Roman" w:eastAsia="Times New Roman" w:hAnsi="Times New Roman" w:cs="Times New Roman"/>
          <w:b/>
          <w:color w:val="1C4587"/>
          <w:sz w:val="24"/>
          <w:szCs w:val="24"/>
        </w:rPr>
        <w:t xml:space="preserve"> page 2 and Appendix A</w:t>
      </w:r>
      <w:r>
        <w:rPr>
          <w:rFonts w:ascii="Times New Roman" w:eastAsia="Times New Roman" w:hAnsi="Times New Roman" w:cs="Times New Roman"/>
          <w:b/>
          <w:color w:val="1C4587"/>
          <w:sz w:val="24"/>
          <w:szCs w:val="24"/>
        </w:rPr>
        <w:t xml:space="preserve"> </w:t>
      </w:r>
      <w:r w:rsidR="001D09DC">
        <w:rPr>
          <w:rFonts w:ascii="Times New Roman" w:eastAsia="Times New Roman" w:hAnsi="Times New Roman" w:cs="Times New Roman"/>
          <w:b/>
          <w:color w:val="1C4587"/>
          <w:sz w:val="24"/>
          <w:szCs w:val="24"/>
        </w:rPr>
        <w:t>i</w:t>
      </w:r>
      <w:r>
        <w:rPr>
          <w:rFonts w:ascii="Times New Roman" w:eastAsia="Times New Roman" w:hAnsi="Times New Roman" w:cs="Times New Roman"/>
          <w:b/>
          <w:color w:val="1C4587"/>
          <w:sz w:val="24"/>
          <w:szCs w:val="24"/>
        </w:rPr>
        <w:t>n SOP Guide</w:t>
      </w:r>
      <w:r>
        <w:rPr>
          <w:rFonts w:ascii="Times New Roman" w:eastAsia="Times New Roman" w:hAnsi="Times New Roman" w:cs="Times New Roman"/>
          <w:color w:val="1C4587"/>
          <w:sz w:val="24"/>
          <w:szCs w:val="24"/>
        </w:rPr>
        <w:t>)</w:t>
      </w:r>
    </w:p>
    <w:p w14:paraId="386ED645" w14:textId="77777777" w:rsidR="002054A7" w:rsidRDefault="002054A7">
      <w:pPr>
        <w:rPr>
          <w:rFonts w:ascii="Times New Roman" w:eastAsia="Times New Roman" w:hAnsi="Times New Roman" w:cs="Times New Roman"/>
        </w:rPr>
      </w:pPr>
    </w:p>
    <w:p w14:paraId="0F1EE984" w14:textId="77777777" w:rsidR="002054A7" w:rsidRDefault="00697297">
      <w:pPr>
        <w:numPr>
          <w:ilvl w:val="0"/>
          <w:numId w:val="1"/>
        </w:num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Laboratory Manager:</w:t>
      </w:r>
    </w:p>
    <w:p w14:paraId="282E9789" w14:textId="7D581521" w:rsidR="002054A7" w:rsidRDefault="002054A7">
      <w:pPr>
        <w:spacing w:before="240"/>
        <w:rPr>
          <w:rFonts w:ascii="Times New Roman" w:eastAsia="Times New Roman" w:hAnsi="Times New Roman" w:cs="Times New Roman"/>
          <w:b/>
        </w:rPr>
      </w:pPr>
    </w:p>
    <w:p w14:paraId="372F857B" w14:textId="77777777" w:rsidR="00975441" w:rsidRDefault="00975441">
      <w:pPr>
        <w:spacing w:before="240"/>
        <w:rPr>
          <w:rFonts w:ascii="Times New Roman" w:eastAsia="Times New Roman" w:hAnsi="Times New Roman" w:cs="Times New Roman"/>
          <w:b/>
        </w:rPr>
      </w:pPr>
    </w:p>
    <w:p w14:paraId="1E781F8A" w14:textId="77777777" w:rsidR="002054A7" w:rsidRDefault="00697297">
      <w:pPr>
        <w:numPr>
          <w:ilvl w:val="0"/>
          <w:numId w:val="12"/>
        </w:num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Laboratory personnel: </w:t>
      </w:r>
    </w:p>
    <w:p w14:paraId="015EB087" w14:textId="35208824" w:rsidR="002054A7" w:rsidRDefault="002054A7">
      <w:pPr>
        <w:spacing w:before="240"/>
        <w:rPr>
          <w:rFonts w:ascii="Times New Roman" w:eastAsia="Times New Roman" w:hAnsi="Times New Roman" w:cs="Times New Roman"/>
          <w:b/>
        </w:rPr>
      </w:pPr>
    </w:p>
    <w:p w14:paraId="3C13995B" w14:textId="77777777" w:rsidR="00975441" w:rsidRDefault="00975441">
      <w:pPr>
        <w:spacing w:before="240"/>
        <w:rPr>
          <w:rFonts w:ascii="Times New Roman" w:eastAsia="Times New Roman" w:hAnsi="Times New Roman" w:cs="Times New Roman"/>
          <w:b/>
        </w:rPr>
      </w:pPr>
    </w:p>
    <w:p w14:paraId="28A6D1C8" w14:textId="77777777" w:rsidR="002054A7" w:rsidRDefault="00697297">
      <w:pPr>
        <w:numPr>
          <w:ilvl w:val="0"/>
          <w:numId w:val="6"/>
        </w:num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Laboratory supporting personnel:</w:t>
      </w:r>
    </w:p>
    <w:p w14:paraId="22CABBFA" w14:textId="77777777" w:rsidR="002054A7" w:rsidRDefault="002054A7">
      <w:pPr>
        <w:spacing w:before="240"/>
        <w:rPr>
          <w:rFonts w:ascii="Times New Roman" w:eastAsia="Times New Roman" w:hAnsi="Times New Roman" w:cs="Times New Roman"/>
          <w:b/>
        </w:rPr>
      </w:pPr>
    </w:p>
    <w:p w14:paraId="569A2E63" w14:textId="77777777" w:rsidR="002054A7" w:rsidRDefault="002054A7">
      <w:pPr>
        <w:spacing w:before="240"/>
        <w:rPr>
          <w:rFonts w:ascii="Times New Roman" w:eastAsia="Times New Roman" w:hAnsi="Times New Roman" w:cs="Times New Roman"/>
          <w:b/>
        </w:rPr>
      </w:pPr>
    </w:p>
    <w:p w14:paraId="73F275E0" w14:textId="77777777" w:rsidR="002054A7" w:rsidRDefault="00697297">
      <w:pPr>
        <w:numPr>
          <w:ilvl w:val="0"/>
          <w:numId w:val="8"/>
        </w:num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Laboratory Administrative Head: </w:t>
      </w:r>
    </w:p>
    <w:p w14:paraId="37A0F5BB" w14:textId="77777777" w:rsidR="002054A7" w:rsidRDefault="00697297">
      <w:pPr>
        <w:spacing w:after="80"/>
        <w:rPr>
          <w:rFonts w:ascii="Times New Roman" w:eastAsia="Times New Roman" w:hAnsi="Times New Roman" w:cs="Times New Roman"/>
        </w:rPr>
      </w:pPr>
      <w:r>
        <w:br w:type="page"/>
      </w:r>
    </w:p>
    <w:p w14:paraId="34FFDB61" w14:textId="77777777" w:rsidR="002054A7" w:rsidRDefault="00697297">
      <w:pPr>
        <w:spacing w:after="80"/>
        <w:rPr>
          <w:rFonts w:ascii="Times New Roman" w:eastAsia="Times New Roman" w:hAnsi="Times New Roman" w:cs="Times New Roman"/>
          <w:b/>
          <w:color w:val="1C4587"/>
          <w:sz w:val="36"/>
          <w:szCs w:val="36"/>
        </w:rPr>
      </w:pPr>
      <w:r>
        <w:rPr>
          <w:rFonts w:ascii="Times New Roman" w:eastAsia="Times New Roman" w:hAnsi="Times New Roman" w:cs="Times New Roman"/>
          <w:b/>
          <w:color w:val="1C4587"/>
          <w:sz w:val="36"/>
          <w:szCs w:val="36"/>
        </w:rPr>
        <w:lastRenderedPageBreak/>
        <w:t>D. Environmental and Facilities</w:t>
      </w:r>
    </w:p>
    <w:p w14:paraId="568FE6E9" w14:textId="77777777" w:rsidR="002054A7" w:rsidRDefault="00697297">
      <w:pPr>
        <w:spacing w:before="240"/>
        <w:rPr>
          <w:rFonts w:ascii="Times New Roman" w:eastAsia="Times New Roman" w:hAnsi="Times New Roman" w:cs="Times New Roman"/>
          <w:i/>
          <w:color w:val="FF0000"/>
        </w:rPr>
      </w:pPr>
      <w:r>
        <w:rPr>
          <w:rFonts w:ascii="Times New Roman" w:eastAsia="Times New Roman" w:hAnsi="Times New Roman" w:cs="Times New Roman"/>
          <w:i/>
          <w:color w:val="FF0000"/>
        </w:rPr>
        <w:t>Guidance: This section should describe supplies, practices, procedures, guidelines, and schedules for sanitation and access and space controls.</w:t>
      </w:r>
    </w:p>
    <w:p w14:paraId="699A6E34" w14:textId="1FB3617E" w:rsidR="002054A7" w:rsidRDefault="00697297">
      <w:pPr>
        <w:spacing w:after="240"/>
        <w:rPr>
          <w:rFonts w:ascii="Times New Roman" w:eastAsia="Times New Roman" w:hAnsi="Times New Roman" w:cs="Times New Roman"/>
          <w:b/>
          <w:sz w:val="28"/>
          <w:szCs w:val="28"/>
        </w:rPr>
      </w:pPr>
      <w:r>
        <w:rPr>
          <w:rFonts w:ascii="Times New Roman" w:eastAsia="Times New Roman" w:hAnsi="Times New Roman" w:cs="Times New Roman"/>
          <w:b/>
          <w:color w:val="1C4587"/>
          <w:sz w:val="24"/>
          <w:szCs w:val="24"/>
        </w:rPr>
        <w:t>(See section D</w:t>
      </w:r>
      <w:r w:rsidR="001D09DC">
        <w:rPr>
          <w:rFonts w:ascii="Times New Roman" w:eastAsia="Times New Roman" w:hAnsi="Times New Roman" w:cs="Times New Roman"/>
          <w:b/>
          <w:color w:val="1C4587"/>
          <w:sz w:val="24"/>
          <w:szCs w:val="24"/>
        </w:rPr>
        <w:t xml:space="preserve">, page </w:t>
      </w:r>
      <w:r w:rsidR="00975441">
        <w:rPr>
          <w:rFonts w:ascii="Times New Roman" w:eastAsia="Times New Roman" w:hAnsi="Times New Roman" w:cs="Times New Roman"/>
          <w:b/>
          <w:color w:val="1C4587"/>
          <w:sz w:val="24"/>
          <w:szCs w:val="24"/>
        </w:rPr>
        <w:t>2</w:t>
      </w:r>
      <w:r w:rsidR="001D09DC">
        <w:rPr>
          <w:rFonts w:ascii="Times New Roman" w:eastAsia="Times New Roman" w:hAnsi="Times New Roman" w:cs="Times New Roman"/>
          <w:b/>
          <w:color w:val="1C4587"/>
          <w:sz w:val="24"/>
          <w:szCs w:val="24"/>
        </w:rPr>
        <w:t>-4</w:t>
      </w:r>
      <w:r>
        <w:rPr>
          <w:rFonts w:ascii="Times New Roman" w:eastAsia="Times New Roman" w:hAnsi="Times New Roman" w:cs="Times New Roman"/>
          <w:b/>
          <w:color w:val="1C4587"/>
          <w:sz w:val="24"/>
          <w:szCs w:val="24"/>
        </w:rPr>
        <w:t xml:space="preserve"> </w:t>
      </w:r>
      <w:r w:rsidR="001D09DC">
        <w:rPr>
          <w:rFonts w:ascii="Times New Roman" w:eastAsia="Times New Roman" w:hAnsi="Times New Roman" w:cs="Times New Roman"/>
          <w:b/>
          <w:color w:val="1C4587"/>
          <w:sz w:val="24"/>
          <w:szCs w:val="24"/>
        </w:rPr>
        <w:t>and Appendix A i</w:t>
      </w:r>
      <w:r>
        <w:rPr>
          <w:rFonts w:ascii="Times New Roman" w:eastAsia="Times New Roman" w:hAnsi="Times New Roman" w:cs="Times New Roman"/>
          <w:b/>
          <w:color w:val="1C4587"/>
          <w:sz w:val="24"/>
          <w:szCs w:val="24"/>
        </w:rPr>
        <w:t>n SOP Guide)</w:t>
      </w:r>
    </w:p>
    <w:p w14:paraId="6482C0DE" w14:textId="21A9372B" w:rsidR="002054A7" w:rsidRDefault="00697297">
      <w:pPr>
        <w:spacing w:before="240"/>
        <w:rPr>
          <w:rFonts w:ascii="Times New Roman" w:eastAsia="Times New Roman" w:hAnsi="Times New Roman" w:cs="Times New Roman"/>
          <w:i/>
        </w:rPr>
      </w:pPr>
      <w:r>
        <w:rPr>
          <w:rFonts w:ascii="Times New Roman" w:eastAsia="Times New Roman" w:hAnsi="Times New Roman" w:cs="Times New Roman"/>
          <w:b/>
          <w:sz w:val="28"/>
          <w:szCs w:val="28"/>
        </w:rPr>
        <w:t xml:space="preserve">D1. </w:t>
      </w:r>
      <w:r w:rsidR="001D09DC">
        <w:rPr>
          <w:rFonts w:ascii="Times New Roman" w:eastAsia="Times New Roman" w:hAnsi="Times New Roman" w:cs="Times New Roman"/>
          <w:b/>
          <w:sz w:val="28"/>
          <w:szCs w:val="28"/>
        </w:rPr>
        <w:t xml:space="preserve"> Disinfecting and </w:t>
      </w:r>
      <w:r>
        <w:rPr>
          <w:rFonts w:ascii="Times New Roman" w:eastAsia="Times New Roman" w:hAnsi="Times New Roman" w:cs="Times New Roman"/>
          <w:b/>
          <w:sz w:val="28"/>
          <w:szCs w:val="28"/>
        </w:rPr>
        <w:t>Sanitiz</w:t>
      </w:r>
      <w:r w:rsidR="001D09DC">
        <w:rPr>
          <w:rFonts w:ascii="Times New Roman" w:eastAsia="Times New Roman" w:hAnsi="Times New Roman" w:cs="Times New Roman"/>
          <w:b/>
          <w:sz w:val="28"/>
          <w:szCs w:val="28"/>
        </w:rPr>
        <w:t>ing</w:t>
      </w:r>
      <w:r>
        <w:rPr>
          <w:rFonts w:ascii="Times New Roman" w:eastAsia="Times New Roman" w:hAnsi="Times New Roman" w:cs="Times New Roman"/>
          <w:b/>
          <w:sz w:val="28"/>
          <w:szCs w:val="28"/>
        </w:rPr>
        <w:br/>
      </w:r>
    </w:p>
    <w:p w14:paraId="072DE7C8" w14:textId="77777777" w:rsidR="002054A7" w:rsidRDefault="002054A7">
      <w:pPr>
        <w:spacing w:before="280"/>
        <w:rPr>
          <w:rFonts w:ascii="Times New Roman" w:eastAsia="Times New Roman" w:hAnsi="Times New Roman" w:cs="Times New Roman"/>
        </w:rPr>
      </w:pPr>
    </w:p>
    <w:p w14:paraId="0721A30D" w14:textId="77777777" w:rsidR="002054A7" w:rsidRDefault="00697297">
      <w:pPr>
        <w:spacing w:before="280"/>
        <w:rPr>
          <w:rFonts w:ascii="Times New Roman" w:eastAsia="Times New Roman" w:hAnsi="Times New Roman" w:cs="Times New Roman"/>
        </w:rPr>
      </w:pPr>
      <w:r>
        <w:br w:type="page"/>
      </w:r>
    </w:p>
    <w:p w14:paraId="3078D076" w14:textId="77777777" w:rsidR="002054A7" w:rsidRDefault="00697297">
      <w:pPr>
        <w:spacing w:before="28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D2. Access and Space</w:t>
      </w:r>
    </w:p>
    <w:p w14:paraId="25E21530" w14:textId="77777777" w:rsidR="002054A7" w:rsidRDefault="002054A7">
      <w:pPr>
        <w:spacing w:after="240"/>
        <w:rPr>
          <w:rFonts w:ascii="Times New Roman" w:eastAsia="Times New Roman" w:hAnsi="Times New Roman" w:cs="Times New Roman"/>
        </w:rPr>
      </w:pPr>
    </w:p>
    <w:p w14:paraId="6D538F80" w14:textId="77777777" w:rsidR="002054A7" w:rsidRDefault="002054A7">
      <w:pPr>
        <w:spacing w:before="240" w:after="240"/>
        <w:rPr>
          <w:rFonts w:ascii="Times New Roman" w:eastAsia="Times New Roman" w:hAnsi="Times New Roman" w:cs="Times New Roman"/>
        </w:rPr>
      </w:pPr>
    </w:p>
    <w:p w14:paraId="39B52320" w14:textId="77777777" w:rsidR="002054A7" w:rsidRDefault="002054A7">
      <w:pPr>
        <w:spacing w:before="240"/>
        <w:rPr>
          <w:rFonts w:ascii="Times New Roman" w:eastAsia="Times New Roman" w:hAnsi="Times New Roman" w:cs="Times New Roman"/>
        </w:rPr>
      </w:pPr>
    </w:p>
    <w:p w14:paraId="751165C1" w14:textId="77777777" w:rsidR="002054A7" w:rsidRDefault="00697297">
      <w:pPr>
        <w:spacing w:after="80"/>
        <w:rPr>
          <w:rFonts w:ascii="Times New Roman" w:eastAsia="Times New Roman" w:hAnsi="Times New Roman" w:cs="Times New Roman"/>
        </w:rPr>
      </w:pPr>
      <w:r>
        <w:br w:type="page"/>
      </w:r>
    </w:p>
    <w:p w14:paraId="377982DE" w14:textId="77777777" w:rsidR="002054A7" w:rsidRDefault="00697297">
      <w:pPr>
        <w:spacing w:after="80"/>
        <w:rPr>
          <w:rFonts w:ascii="Times New Roman" w:eastAsia="Times New Roman" w:hAnsi="Times New Roman" w:cs="Times New Roman"/>
          <w:b/>
          <w:color w:val="1C4587"/>
          <w:sz w:val="36"/>
          <w:szCs w:val="36"/>
        </w:rPr>
      </w:pPr>
      <w:r>
        <w:rPr>
          <w:rFonts w:ascii="Times New Roman" w:eastAsia="Times New Roman" w:hAnsi="Times New Roman" w:cs="Times New Roman"/>
          <w:b/>
          <w:color w:val="1C4587"/>
          <w:sz w:val="36"/>
          <w:szCs w:val="36"/>
        </w:rPr>
        <w:lastRenderedPageBreak/>
        <w:t>E. Personal Protective Equipment and Responsibilities</w:t>
      </w:r>
    </w:p>
    <w:p w14:paraId="4B9E4BE6" w14:textId="3FAFDBC4" w:rsidR="002054A7" w:rsidRDefault="00697297">
      <w:pPr>
        <w:spacing w:after="80"/>
        <w:rPr>
          <w:rFonts w:ascii="Times New Roman" w:eastAsia="Times New Roman" w:hAnsi="Times New Roman" w:cs="Times New Roman"/>
        </w:rPr>
      </w:pPr>
      <w:r>
        <w:rPr>
          <w:rFonts w:ascii="Times New Roman" w:eastAsia="Times New Roman" w:hAnsi="Times New Roman" w:cs="Times New Roman"/>
          <w:i/>
          <w:color w:val="FF0000"/>
        </w:rPr>
        <w:t>Guidance: This section should describe supplies, practices, procedures, guidelines, and schedules for personal protective equipment and responsibilities.</w:t>
      </w:r>
      <w:r>
        <w:rPr>
          <w:rFonts w:ascii="Times New Roman" w:eastAsia="Times New Roman" w:hAnsi="Times New Roman" w:cs="Times New Roman"/>
          <w:b/>
          <w:i/>
          <w:color w:val="FF0000"/>
        </w:rPr>
        <w:br/>
      </w:r>
      <w:r>
        <w:rPr>
          <w:rFonts w:ascii="Times New Roman" w:eastAsia="Times New Roman" w:hAnsi="Times New Roman" w:cs="Times New Roman"/>
          <w:b/>
          <w:color w:val="1C4587"/>
          <w:sz w:val="24"/>
          <w:szCs w:val="24"/>
        </w:rPr>
        <w:t>(See section E</w:t>
      </w:r>
      <w:r w:rsidR="001D09DC">
        <w:rPr>
          <w:rFonts w:ascii="Times New Roman" w:eastAsia="Times New Roman" w:hAnsi="Times New Roman" w:cs="Times New Roman"/>
          <w:b/>
          <w:color w:val="1C4587"/>
          <w:sz w:val="24"/>
          <w:szCs w:val="24"/>
        </w:rPr>
        <w:t xml:space="preserve">, page </w:t>
      </w:r>
      <w:r w:rsidR="00975441">
        <w:rPr>
          <w:rFonts w:ascii="Times New Roman" w:eastAsia="Times New Roman" w:hAnsi="Times New Roman" w:cs="Times New Roman"/>
          <w:b/>
          <w:color w:val="1C4587"/>
          <w:sz w:val="24"/>
          <w:szCs w:val="24"/>
        </w:rPr>
        <w:t>4</w:t>
      </w:r>
      <w:r w:rsidR="001D09DC">
        <w:rPr>
          <w:rFonts w:ascii="Times New Roman" w:eastAsia="Times New Roman" w:hAnsi="Times New Roman" w:cs="Times New Roman"/>
          <w:b/>
          <w:color w:val="1C4587"/>
          <w:sz w:val="24"/>
          <w:szCs w:val="24"/>
        </w:rPr>
        <w:t xml:space="preserve"> and Appendix A</w:t>
      </w:r>
      <w:r>
        <w:rPr>
          <w:rFonts w:ascii="Times New Roman" w:eastAsia="Times New Roman" w:hAnsi="Times New Roman" w:cs="Times New Roman"/>
          <w:b/>
          <w:color w:val="1C4587"/>
          <w:sz w:val="24"/>
          <w:szCs w:val="24"/>
        </w:rPr>
        <w:t xml:space="preserve"> </w:t>
      </w:r>
      <w:r w:rsidR="001D09DC">
        <w:rPr>
          <w:rFonts w:ascii="Times New Roman" w:eastAsia="Times New Roman" w:hAnsi="Times New Roman" w:cs="Times New Roman"/>
          <w:b/>
          <w:color w:val="1C4587"/>
          <w:sz w:val="24"/>
          <w:szCs w:val="24"/>
        </w:rPr>
        <w:t>i</w:t>
      </w:r>
      <w:r>
        <w:rPr>
          <w:rFonts w:ascii="Times New Roman" w:eastAsia="Times New Roman" w:hAnsi="Times New Roman" w:cs="Times New Roman"/>
          <w:b/>
          <w:color w:val="1C4587"/>
          <w:sz w:val="24"/>
          <w:szCs w:val="24"/>
        </w:rPr>
        <w:t>n SOP Guide)</w:t>
      </w:r>
      <w:r>
        <w:br w:type="page"/>
      </w:r>
    </w:p>
    <w:p w14:paraId="12D29AD0" w14:textId="77777777" w:rsidR="002054A7" w:rsidRDefault="00697297">
      <w:pPr>
        <w:spacing w:after="80"/>
        <w:rPr>
          <w:rFonts w:ascii="Times New Roman" w:eastAsia="Times New Roman" w:hAnsi="Times New Roman" w:cs="Times New Roman"/>
          <w:b/>
          <w:color w:val="1C4587"/>
          <w:sz w:val="36"/>
          <w:szCs w:val="36"/>
        </w:rPr>
      </w:pPr>
      <w:r>
        <w:rPr>
          <w:rFonts w:ascii="Times New Roman" w:eastAsia="Times New Roman" w:hAnsi="Times New Roman" w:cs="Times New Roman"/>
          <w:b/>
          <w:color w:val="1C4587"/>
          <w:sz w:val="36"/>
          <w:szCs w:val="36"/>
        </w:rPr>
        <w:lastRenderedPageBreak/>
        <w:t>F. Surveillance and Compliance</w:t>
      </w:r>
    </w:p>
    <w:p w14:paraId="3489D263" w14:textId="77777777" w:rsidR="002054A7" w:rsidRDefault="00697297">
      <w:pPr>
        <w:spacing w:before="240"/>
        <w:rPr>
          <w:rFonts w:ascii="Times New Roman" w:eastAsia="Times New Roman" w:hAnsi="Times New Roman" w:cs="Times New Roman"/>
          <w:i/>
          <w:color w:val="FF0000"/>
        </w:rPr>
      </w:pPr>
      <w:r>
        <w:rPr>
          <w:rFonts w:ascii="Times New Roman" w:eastAsia="Times New Roman" w:hAnsi="Times New Roman" w:cs="Times New Roman"/>
          <w:i/>
          <w:color w:val="FF0000"/>
        </w:rPr>
        <w:t>Guidance: This section should define practices, procedures, guidelines, and schedules for reporting and surveilling SOP compliance.</w:t>
      </w:r>
    </w:p>
    <w:p w14:paraId="2658FBFB" w14:textId="30F3C2F9" w:rsidR="002054A7" w:rsidRDefault="00697297">
      <w:pPr>
        <w:spacing w:after="240"/>
        <w:rPr>
          <w:rFonts w:ascii="Times New Roman" w:eastAsia="Times New Roman" w:hAnsi="Times New Roman" w:cs="Times New Roman"/>
          <w:b/>
          <w:color w:val="1C4587"/>
          <w:sz w:val="24"/>
          <w:szCs w:val="24"/>
        </w:rPr>
      </w:pPr>
      <w:r>
        <w:rPr>
          <w:rFonts w:ascii="Times New Roman" w:eastAsia="Times New Roman" w:hAnsi="Times New Roman" w:cs="Times New Roman"/>
          <w:b/>
          <w:color w:val="1C4587"/>
          <w:sz w:val="24"/>
          <w:szCs w:val="24"/>
        </w:rPr>
        <w:t>(See section F</w:t>
      </w:r>
      <w:r w:rsidR="001D09DC">
        <w:rPr>
          <w:rFonts w:ascii="Times New Roman" w:eastAsia="Times New Roman" w:hAnsi="Times New Roman" w:cs="Times New Roman"/>
          <w:b/>
          <w:color w:val="1C4587"/>
          <w:sz w:val="24"/>
          <w:szCs w:val="24"/>
        </w:rPr>
        <w:t>, page 4-5 and Appendix A</w:t>
      </w:r>
      <w:r>
        <w:rPr>
          <w:rFonts w:ascii="Times New Roman" w:eastAsia="Times New Roman" w:hAnsi="Times New Roman" w:cs="Times New Roman"/>
          <w:b/>
          <w:color w:val="1C4587"/>
          <w:sz w:val="24"/>
          <w:szCs w:val="24"/>
        </w:rPr>
        <w:t xml:space="preserve"> </w:t>
      </w:r>
      <w:r w:rsidR="001D09DC">
        <w:rPr>
          <w:rFonts w:ascii="Times New Roman" w:eastAsia="Times New Roman" w:hAnsi="Times New Roman" w:cs="Times New Roman"/>
          <w:b/>
          <w:color w:val="1C4587"/>
          <w:sz w:val="24"/>
          <w:szCs w:val="24"/>
        </w:rPr>
        <w:t>i</w:t>
      </w:r>
      <w:r>
        <w:rPr>
          <w:rFonts w:ascii="Times New Roman" w:eastAsia="Times New Roman" w:hAnsi="Times New Roman" w:cs="Times New Roman"/>
          <w:b/>
          <w:color w:val="1C4587"/>
          <w:sz w:val="24"/>
          <w:szCs w:val="24"/>
        </w:rPr>
        <w:t>n SOP Guide)</w:t>
      </w:r>
    </w:p>
    <w:p w14:paraId="3EC781C2" w14:textId="77777777" w:rsidR="002054A7" w:rsidRDefault="00697297">
      <w:pPr>
        <w:ind w:left="720"/>
        <w:rPr>
          <w:rFonts w:ascii="Times New Roman" w:eastAsia="Times New Roman" w:hAnsi="Times New Roman" w:cs="Times New Roman"/>
        </w:rPr>
      </w:pPr>
      <w:r>
        <w:br w:type="page"/>
      </w:r>
    </w:p>
    <w:p w14:paraId="06C9C473" w14:textId="77777777" w:rsidR="002054A7" w:rsidRDefault="00697297">
      <w:pPr>
        <w:spacing w:after="80"/>
        <w:rPr>
          <w:rFonts w:ascii="Times New Roman" w:eastAsia="Times New Roman" w:hAnsi="Times New Roman" w:cs="Times New Roman"/>
          <w:b/>
          <w:color w:val="1C4587"/>
          <w:sz w:val="36"/>
          <w:szCs w:val="36"/>
        </w:rPr>
      </w:pPr>
      <w:r>
        <w:rPr>
          <w:rFonts w:ascii="Times New Roman" w:eastAsia="Times New Roman" w:hAnsi="Times New Roman" w:cs="Times New Roman"/>
          <w:b/>
          <w:color w:val="1C4587"/>
          <w:sz w:val="36"/>
          <w:szCs w:val="36"/>
        </w:rPr>
        <w:lastRenderedPageBreak/>
        <w:t>G. Communication</w:t>
      </w:r>
    </w:p>
    <w:p w14:paraId="05822282" w14:textId="77777777" w:rsidR="002054A7" w:rsidRDefault="00697297">
      <w:pPr>
        <w:spacing w:before="240"/>
        <w:rPr>
          <w:rFonts w:ascii="Times New Roman" w:eastAsia="Times New Roman" w:hAnsi="Times New Roman" w:cs="Times New Roman"/>
          <w:i/>
          <w:color w:val="FF0000"/>
        </w:rPr>
      </w:pPr>
      <w:r>
        <w:rPr>
          <w:rFonts w:ascii="Times New Roman" w:eastAsia="Times New Roman" w:hAnsi="Times New Roman" w:cs="Times New Roman"/>
          <w:i/>
          <w:color w:val="FF0000"/>
        </w:rPr>
        <w:t>Guidance: This section should define practices, procedures, guidelines, and schedules for disseminating SOP guidelines and practices.</w:t>
      </w:r>
    </w:p>
    <w:p w14:paraId="6C728793" w14:textId="11F14BDF" w:rsidR="002054A7" w:rsidRDefault="00697297">
      <w:pPr>
        <w:spacing w:after="240"/>
        <w:rPr>
          <w:rFonts w:ascii="Times New Roman" w:eastAsia="Times New Roman" w:hAnsi="Times New Roman" w:cs="Times New Roman"/>
          <w:b/>
          <w:color w:val="1C4587"/>
          <w:sz w:val="24"/>
          <w:szCs w:val="24"/>
        </w:rPr>
      </w:pPr>
      <w:r>
        <w:rPr>
          <w:rFonts w:ascii="Times New Roman" w:eastAsia="Times New Roman" w:hAnsi="Times New Roman" w:cs="Times New Roman"/>
          <w:b/>
          <w:color w:val="1C4587"/>
          <w:sz w:val="24"/>
          <w:szCs w:val="24"/>
        </w:rPr>
        <w:t>(See section G</w:t>
      </w:r>
      <w:r w:rsidR="001D09DC">
        <w:rPr>
          <w:rFonts w:ascii="Times New Roman" w:eastAsia="Times New Roman" w:hAnsi="Times New Roman" w:cs="Times New Roman"/>
          <w:b/>
          <w:color w:val="1C4587"/>
          <w:sz w:val="24"/>
          <w:szCs w:val="24"/>
        </w:rPr>
        <w:t>, page 5 and Appendix A</w:t>
      </w:r>
      <w:r>
        <w:rPr>
          <w:rFonts w:ascii="Times New Roman" w:eastAsia="Times New Roman" w:hAnsi="Times New Roman" w:cs="Times New Roman"/>
          <w:b/>
          <w:color w:val="1C4587"/>
          <w:sz w:val="24"/>
          <w:szCs w:val="24"/>
        </w:rPr>
        <w:t xml:space="preserve"> </w:t>
      </w:r>
      <w:r w:rsidR="001D09DC">
        <w:rPr>
          <w:rFonts w:ascii="Times New Roman" w:eastAsia="Times New Roman" w:hAnsi="Times New Roman" w:cs="Times New Roman"/>
          <w:b/>
          <w:color w:val="1C4587"/>
          <w:sz w:val="24"/>
          <w:szCs w:val="24"/>
        </w:rPr>
        <w:t>i</w:t>
      </w:r>
      <w:r>
        <w:rPr>
          <w:rFonts w:ascii="Times New Roman" w:eastAsia="Times New Roman" w:hAnsi="Times New Roman" w:cs="Times New Roman"/>
          <w:b/>
          <w:color w:val="1C4587"/>
          <w:sz w:val="24"/>
          <w:szCs w:val="24"/>
        </w:rPr>
        <w:t>n SOP Guide)</w:t>
      </w:r>
    </w:p>
    <w:p w14:paraId="00C81502" w14:textId="77777777" w:rsidR="002054A7" w:rsidRDefault="00697297">
      <w:pPr>
        <w:numPr>
          <w:ilvl w:val="0"/>
          <w:numId w:val="10"/>
        </w:numPr>
        <w:spacing w:after="240"/>
        <w:rPr>
          <w:rFonts w:ascii="Times New Roman" w:eastAsia="Times New Roman" w:hAnsi="Times New Roman" w:cs="Times New Roman"/>
        </w:rPr>
      </w:pPr>
      <w:r>
        <w:br w:type="page"/>
      </w:r>
    </w:p>
    <w:p w14:paraId="16DA91EB" w14:textId="77777777" w:rsidR="002054A7" w:rsidRDefault="00697297">
      <w:pPr>
        <w:spacing w:after="240"/>
        <w:rPr>
          <w:rFonts w:ascii="Times New Roman" w:eastAsia="Times New Roman" w:hAnsi="Times New Roman" w:cs="Times New Roman"/>
          <w:b/>
          <w:color w:val="1C4587"/>
          <w:sz w:val="36"/>
          <w:szCs w:val="36"/>
        </w:rPr>
      </w:pPr>
      <w:r>
        <w:rPr>
          <w:rFonts w:ascii="Times New Roman" w:eastAsia="Times New Roman" w:hAnsi="Times New Roman" w:cs="Times New Roman"/>
          <w:b/>
          <w:color w:val="1C4587"/>
          <w:sz w:val="36"/>
          <w:szCs w:val="36"/>
        </w:rPr>
        <w:lastRenderedPageBreak/>
        <w:t>H. Phase Change</w:t>
      </w:r>
    </w:p>
    <w:p w14:paraId="5A1CB3F2" w14:textId="77777777" w:rsidR="002054A7" w:rsidRDefault="00697297">
      <w:pPr>
        <w:spacing w:before="240"/>
        <w:rPr>
          <w:rFonts w:ascii="Times New Roman" w:eastAsia="Times New Roman" w:hAnsi="Times New Roman" w:cs="Times New Roman"/>
          <w:i/>
          <w:color w:val="FF0000"/>
        </w:rPr>
      </w:pPr>
      <w:r>
        <w:rPr>
          <w:rFonts w:ascii="Times New Roman" w:eastAsia="Times New Roman" w:hAnsi="Times New Roman" w:cs="Times New Roman"/>
          <w:i/>
          <w:color w:val="FF0000"/>
        </w:rPr>
        <w:t>Guidance: This section should define practices, procedures, guidelines, and schedules for shifting between Phase 0, 1, and 2 levels of research activity.</w:t>
      </w:r>
    </w:p>
    <w:p w14:paraId="1A302C83" w14:textId="03F08D08" w:rsidR="002054A7" w:rsidRDefault="00697297">
      <w:pPr>
        <w:spacing w:after="240"/>
        <w:rPr>
          <w:rFonts w:ascii="Times New Roman" w:eastAsia="Times New Roman" w:hAnsi="Times New Roman" w:cs="Times New Roman"/>
          <w:b/>
          <w:color w:val="1C4587"/>
          <w:sz w:val="24"/>
          <w:szCs w:val="24"/>
        </w:rPr>
      </w:pPr>
      <w:r>
        <w:rPr>
          <w:rFonts w:ascii="Times New Roman" w:eastAsia="Times New Roman" w:hAnsi="Times New Roman" w:cs="Times New Roman"/>
          <w:b/>
          <w:color w:val="1C4587"/>
          <w:sz w:val="24"/>
          <w:szCs w:val="24"/>
        </w:rPr>
        <w:t>(See section H</w:t>
      </w:r>
      <w:r w:rsidR="001D09DC">
        <w:rPr>
          <w:rFonts w:ascii="Times New Roman" w:eastAsia="Times New Roman" w:hAnsi="Times New Roman" w:cs="Times New Roman"/>
          <w:b/>
          <w:color w:val="1C4587"/>
          <w:sz w:val="24"/>
          <w:szCs w:val="24"/>
        </w:rPr>
        <w:t>, page 6 and Appendix Ai</w:t>
      </w:r>
      <w:r>
        <w:rPr>
          <w:rFonts w:ascii="Times New Roman" w:eastAsia="Times New Roman" w:hAnsi="Times New Roman" w:cs="Times New Roman"/>
          <w:b/>
          <w:color w:val="1C4587"/>
          <w:sz w:val="24"/>
          <w:szCs w:val="24"/>
        </w:rPr>
        <w:t>n SOP Guide)</w:t>
      </w:r>
    </w:p>
    <w:p w14:paraId="45285470" w14:textId="77777777" w:rsidR="002054A7" w:rsidRDefault="002054A7">
      <w:pPr>
        <w:spacing w:after="240"/>
        <w:rPr>
          <w:rFonts w:ascii="Times New Roman" w:eastAsia="Times New Roman" w:hAnsi="Times New Roman" w:cs="Times New Roman"/>
          <w:b/>
        </w:rPr>
      </w:pPr>
    </w:p>
    <w:p w14:paraId="373C2507" w14:textId="77777777" w:rsidR="002054A7" w:rsidRDefault="00697297">
      <w:pPr>
        <w:numPr>
          <w:ilvl w:val="0"/>
          <w:numId w:val="3"/>
        </w:numPr>
        <w:rPr>
          <w:rFonts w:ascii="Times New Roman" w:eastAsia="Times New Roman" w:hAnsi="Times New Roman" w:cs="Times New Roman"/>
          <w:b/>
        </w:rPr>
      </w:pPr>
      <w:r>
        <w:rPr>
          <w:rFonts w:ascii="Times New Roman" w:eastAsia="Times New Roman" w:hAnsi="Times New Roman" w:cs="Times New Roman"/>
          <w:b/>
          <w:sz w:val="28"/>
          <w:szCs w:val="28"/>
        </w:rPr>
        <w:t>Date when Phase 1 is implemented:</w:t>
      </w:r>
      <w:r>
        <w:rPr>
          <w:rFonts w:ascii="Times New Roman" w:eastAsia="Times New Roman" w:hAnsi="Times New Roman" w:cs="Times New Roman"/>
          <w:b/>
          <w:sz w:val="24"/>
          <w:szCs w:val="24"/>
        </w:rPr>
        <w:br/>
        <w:t xml:space="preserve"> </w:t>
      </w:r>
    </w:p>
    <w:p w14:paraId="19655D4E" w14:textId="77777777" w:rsidR="002054A7" w:rsidRDefault="00697297">
      <w:pPr>
        <w:numPr>
          <w:ilvl w:val="0"/>
          <w:numId w:val="3"/>
        </w:numPr>
        <w:spacing w:after="240"/>
        <w:rPr>
          <w:rFonts w:ascii="Times New Roman" w:eastAsia="Times New Roman" w:hAnsi="Times New Roman" w:cs="Times New Roman"/>
          <w:b/>
        </w:rPr>
      </w:pPr>
      <w:r>
        <w:rPr>
          <w:rFonts w:ascii="Times New Roman" w:eastAsia="Times New Roman" w:hAnsi="Times New Roman" w:cs="Times New Roman"/>
          <w:b/>
          <w:sz w:val="28"/>
          <w:szCs w:val="28"/>
        </w:rPr>
        <w:t>External conditions - federal, state, and local edicts, university mandates - that would trigger advancement to Phase 2</w:t>
      </w:r>
      <w:r>
        <w:rPr>
          <w:rFonts w:ascii="Times New Roman" w:eastAsia="Times New Roman" w:hAnsi="Times New Roman" w:cs="Times New Roman"/>
          <w:b/>
          <w:sz w:val="24"/>
          <w:szCs w:val="24"/>
        </w:rPr>
        <w:t>:</w:t>
      </w:r>
    </w:p>
    <w:p w14:paraId="60B9320E" w14:textId="77777777" w:rsidR="002054A7" w:rsidRDefault="002054A7">
      <w:pPr>
        <w:spacing w:after="240"/>
        <w:rPr>
          <w:rFonts w:ascii="Times New Roman" w:eastAsia="Times New Roman" w:hAnsi="Times New Roman" w:cs="Times New Roman"/>
          <w:b/>
          <w:sz w:val="24"/>
          <w:szCs w:val="24"/>
        </w:rPr>
      </w:pPr>
    </w:p>
    <w:p w14:paraId="3BC2302F" w14:textId="77777777" w:rsidR="002054A7" w:rsidRDefault="002054A7">
      <w:pPr>
        <w:spacing w:after="240"/>
        <w:rPr>
          <w:rFonts w:ascii="Times New Roman" w:eastAsia="Times New Roman" w:hAnsi="Times New Roman" w:cs="Times New Roman"/>
          <w:b/>
          <w:sz w:val="24"/>
          <w:szCs w:val="24"/>
        </w:rPr>
      </w:pPr>
    </w:p>
    <w:p w14:paraId="23BF4089" w14:textId="77777777" w:rsidR="002054A7" w:rsidRDefault="00697297">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 xml:space="preserve"> </w:t>
      </w:r>
      <w:r>
        <w:rPr>
          <w:rFonts w:ascii="Times New Roman" w:eastAsia="Times New Roman" w:hAnsi="Times New Roman" w:cs="Times New Roman"/>
          <w:b/>
          <w:sz w:val="24"/>
          <w:szCs w:val="24"/>
        </w:rPr>
        <w:tab/>
      </w:r>
    </w:p>
    <w:p w14:paraId="7B1B89DA" w14:textId="77777777" w:rsidR="002054A7" w:rsidRDefault="00697297">
      <w:pPr>
        <w:numPr>
          <w:ilvl w:val="0"/>
          <w:numId w:val="4"/>
        </w:numPr>
        <w:spacing w:after="240"/>
        <w:rPr>
          <w:rFonts w:ascii="Times New Roman" w:eastAsia="Times New Roman" w:hAnsi="Times New Roman" w:cs="Times New Roman"/>
          <w:b/>
        </w:rPr>
      </w:pPr>
      <w:r>
        <w:rPr>
          <w:rFonts w:ascii="Times New Roman" w:eastAsia="Times New Roman" w:hAnsi="Times New Roman" w:cs="Times New Roman"/>
          <w:b/>
          <w:sz w:val="28"/>
          <w:szCs w:val="28"/>
        </w:rPr>
        <w:t>Internal conditions or criteria - numbers of days without incident that would trigger advancement to Phase 2:</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6A847856" w14:textId="77777777" w:rsidR="002054A7" w:rsidRDefault="002054A7">
      <w:pPr>
        <w:spacing w:after="240"/>
        <w:rPr>
          <w:rFonts w:ascii="Times New Roman" w:eastAsia="Times New Roman" w:hAnsi="Times New Roman" w:cs="Times New Roman"/>
          <w:b/>
          <w:sz w:val="24"/>
          <w:szCs w:val="24"/>
        </w:rPr>
      </w:pPr>
    </w:p>
    <w:p w14:paraId="77097D17" w14:textId="77777777" w:rsidR="002054A7" w:rsidRDefault="00697297">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4210D33E" w14:textId="77777777" w:rsidR="002054A7" w:rsidRDefault="002054A7">
      <w:pPr>
        <w:spacing w:after="240"/>
        <w:rPr>
          <w:rFonts w:ascii="Times New Roman" w:eastAsia="Times New Roman" w:hAnsi="Times New Roman" w:cs="Times New Roman"/>
          <w:b/>
          <w:sz w:val="24"/>
          <w:szCs w:val="24"/>
        </w:rPr>
      </w:pPr>
    </w:p>
    <w:p w14:paraId="1A84BCFB" w14:textId="77777777" w:rsidR="002054A7" w:rsidRDefault="002054A7">
      <w:pPr>
        <w:spacing w:after="240"/>
        <w:rPr>
          <w:rFonts w:ascii="Times New Roman" w:eastAsia="Times New Roman" w:hAnsi="Times New Roman" w:cs="Times New Roman"/>
          <w:b/>
          <w:sz w:val="24"/>
          <w:szCs w:val="24"/>
        </w:rPr>
      </w:pPr>
    </w:p>
    <w:p w14:paraId="71529949" w14:textId="77777777" w:rsidR="002054A7" w:rsidRDefault="00697297">
      <w:pPr>
        <w:numPr>
          <w:ilvl w:val="0"/>
          <w:numId w:val="9"/>
        </w:numPr>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Courses of action, duration of time to implementation, and communication and reporting mechanisms and dissemination to advance to Phase 2:</w:t>
      </w:r>
    </w:p>
    <w:p w14:paraId="08CF76E4" w14:textId="77777777" w:rsidR="002054A7" w:rsidRDefault="00697297">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 xml:space="preserve"> </w:t>
      </w:r>
      <w:r>
        <w:rPr>
          <w:rFonts w:ascii="Times New Roman" w:eastAsia="Times New Roman" w:hAnsi="Times New Roman" w:cs="Times New Roman"/>
          <w:b/>
          <w:sz w:val="24"/>
          <w:szCs w:val="24"/>
        </w:rPr>
        <w:tab/>
      </w:r>
    </w:p>
    <w:p w14:paraId="1A10B590" w14:textId="77777777" w:rsidR="002054A7" w:rsidRDefault="002054A7">
      <w:pPr>
        <w:spacing w:after="240"/>
        <w:rPr>
          <w:rFonts w:ascii="Times New Roman" w:eastAsia="Times New Roman" w:hAnsi="Times New Roman" w:cs="Times New Roman"/>
          <w:b/>
          <w:sz w:val="24"/>
          <w:szCs w:val="24"/>
        </w:rPr>
      </w:pPr>
    </w:p>
    <w:p w14:paraId="0E1219A7" w14:textId="77777777" w:rsidR="002054A7" w:rsidRDefault="002054A7">
      <w:pPr>
        <w:spacing w:after="240"/>
        <w:rPr>
          <w:rFonts w:ascii="Times New Roman" w:eastAsia="Times New Roman" w:hAnsi="Times New Roman" w:cs="Times New Roman"/>
          <w:b/>
          <w:sz w:val="24"/>
          <w:szCs w:val="24"/>
        </w:rPr>
      </w:pPr>
    </w:p>
    <w:p w14:paraId="676EC1F4" w14:textId="77777777" w:rsidR="002054A7" w:rsidRDefault="00697297">
      <w:pPr>
        <w:numPr>
          <w:ilvl w:val="0"/>
          <w:numId w:val="11"/>
        </w:numPr>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External conditions or criteria-federal, state, and local edicts, university mandates - that would trigger reversion to Phase 0: </w:t>
      </w:r>
      <w:r>
        <w:rPr>
          <w:rFonts w:ascii="Times New Roman" w:eastAsia="Times New Roman" w:hAnsi="Times New Roman" w:cs="Times New Roman"/>
          <w:b/>
          <w:sz w:val="28"/>
          <w:szCs w:val="28"/>
        </w:rPr>
        <w:tab/>
      </w:r>
    </w:p>
    <w:p w14:paraId="1F13A6E0" w14:textId="77777777" w:rsidR="002054A7" w:rsidRDefault="002054A7">
      <w:pPr>
        <w:spacing w:after="240"/>
        <w:rPr>
          <w:rFonts w:ascii="Times New Roman" w:eastAsia="Times New Roman" w:hAnsi="Times New Roman" w:cs="Times New Roman"/>
          <w:b/>
          <w:sz w:val="24"/>
          <w:szCs w:val="24"/>
        </w:rPr>
      </w:pPr>
    </w:p>
    <w:p w14:paraId="4FF5B52B" w14:textId="77777777" w:rsidR="002054A7" w:rsidRDefault="002054A7">
      <w:pPr>
        <w:spacing w:after="240"/>
        <w:rPr>
          <w:rFonts w:ascii="Times New Roman" w:eastAsia="Times New Roman" w:hAnsi="Times New Roman" w:cs="Times New Roman"/>
          <w:b/>
          <w:sz w:val="24"/>
          <w:szCs w:val="24"/>
        </w:rPr>
      </w:pPr>
    </w:p>
    <w:p w14:paraId="20340BA3" w14:textId="77777777" w:rsidR="002054A7" w:rsidRDefault="002054A7">
      <w:pPr>
        <w:spacing w:after="240"/>
        <w:rPr>
          <w:rFonts w:ascii="Times New Roman" w:eastAsia="Times New Roman" w:hAnsi="Times New Roman" w:cs="Times New Roman"/>
          <w:b/>
          <w:sz w:val="24"/>
          <w:szCs w:val="24"/>
        </w:rPr>
      </w:pPr>
    </w:p>
    <w:p w14:paraId="07AF3DF7" w14:textId="77777777" w:rsidR="002054A7" w:rsidRDefault="00697297">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68E8E6B9" w14:textId="77777777" w:rsidR="002054A7" w:rsidRDefault="002054A7">
      <w:pPr>
        <w:spacing w:after="240"/>
        <w:rPr>
          <w:rFonts w:ascii="Times New Roman" w:eastAsia="Times New Roman" w:hAnsi="Times New Roman" w:cs="Times New Roman"/>
          <w:b/>
          <w:sz w:val="24"/>
          <w:szCs w:val="24"/>
        </w:rPr>
      </w:pPr>
    </w:p>
    <w:p w14:paraId="49E837AD" w14:textId="77777777" w:rsidR="002054A7" w:rsidRDefault="00697297">
      <w:pPr>
        <w:numPr>
          <w:ilvl w:val="0"/>
          <w:numId w:val="2"/>
        </w:numPr>
        <w:spacing w:after="240"/>
        <w:rPr>
          <w:rFonts w:ascii="Times New Roman" w:eastAsia="Times New Roman" w:hAnsi="Times New Roman" w:cs="Times New Roman"/>
          <w:b/>
        </w:rPr>
      </w:pPr>
      <w:r>
        <w:rPr>
          <w:rFonts w:ascii="Times New Roman" w:eastAsia="Times New Roman" w:hAnsi="Times New Roman" w:cs="Times New Roman"/>
          <w:b/>
          <w:sz w:val="28"/>
          <w:szCs w:val="28"/>
        </w:rPr>
        <w:t>Internal conditions numbers of primary and secondary cases reported of team contractions - that would trigger reversion to Phase 0:</w:t>
      </w:r>
      <w:r>
        <w:rPr>
          <w:rFonts w:ascii="Times New Roman" w:eastAsia="Times New Roman" w:hAnsi="Times New Roman" w:cs="Times New Roman"/>
          <w:b/>
          <w:sz w:val="24"/>
          <w:szCs w:val="24"/>
        </w:rPr>
        <w:br/>
        <w:t xml:space="preserve"> </w:t>
      </w:r>
      <w:r>
        <w:rPr>
          <w:rFonts w:ascii="Times New Roman" w:eastAsia="Times New Roman" w:hAnsi="Times New Roman" w:cs="Times New Roman"/>
          <w:b/>
          <w:sz w:val="24"/>
          <w:szCs w:val="24"/>
        </w:rPr>
        <w:tab/>
      </w:r>
    </w:p>
    <w:p w14:paraId="6CACB3F9" w14:textId="77777777" w:rsidR="002054A7" w:rsidRDefault="002054A7">
      <w:pPr>
        <w:spacing w:after="240"/>
        <w:rPr>
          <w:rFonts w:ascii="Times New Roman" w:eastAsia="Times New Roman" w:hAnsi="Times New Roman" w:cs="Times New Roman"/>
          <w:b/>
          <w:sz w:val="24"/>
          <w:szCs w:val="24"/>
        </w:rPr>
      </w:pPr>
    </w:p>
    <w:p w14:paraId="38814647" w14:textId="77777777" w:rsidR="002054A7" w:rsidRDefault="002054A7">
      <w:pPr>
        <w:spacing w:after="240"/>
        <w:rPr>
          <w:rFonts w:ascii="Times New Roman" w:eastAsia="Times New Roman" w:hAnsi="Times New Roman" w:cs="Times New Roman"/>
          <w:b/>
          <w:sz w:val="24"/>
          <w:szCs w:val="24"/>
        </w:rPr>
      </w:pPr>
    </w:p>
    <w:p w14:paraId="5271DE25" w14:textId="77777777" w:rsidR="002054A7" w:rsidRDefault="002054A7">
      <w:pPr>
        <w:spacing w:after="240"/>
        <w:rPr>
          <w:rFonts w:ascii="Times New Roman" w:eastAsia="Times New Roman" w:hAnsi="Times New Roman" w:cs="Times New Roman"/>
          <w:b/>
          <w:sz w:val="24"/>
          <w:szCs w:val="24"/>
        </w:rPr>
      </w:pPr>
    </w:p>
    <w:p w14:paraId="75640ECD" w14:textId="77777777" w:rsidR="002054A7" w:rsidRDefault="00697297">
      <w:pPr>
        <w:numPr>
          <w:ilvl w:val="0"/>
          <w:numId w:val="7"/>
        </w:numPr>
        <w:spacing w:after="240"/>
        <w:rPr>
          <w:rFonts w:ascii="Times New Roman" w:eastAsia="Times New Roman" w:hAnsi="Times New Roman" w:cs="Times New Roman"/>
          <w:b/>
        </w:rPr>
      </w:pPr>
      <w:r>
        <w:rPr>
          <w:rFonts w:ascii="Times New Roman" w:eastAsia="Times New Roman" w:hAnsi="Times New Roman" w:cs="Times New Roman"/>
          <w:b/>
          <w:sz w:val="28"/>
          <w:szCs w:val="28"/>
        </w:rPr>
        <w:t xml:space="preserve">Courses of action, duration of time to implementation, and communication </w:t>
      </w:r>
      <w:r>
        <w:rPr>
          <w:rFonts w:ascii="Times New Roman" w:eastAsia="Times New Roman" w:hAnsi="Times New Roman" w:cs="Times New Roman"/>
          <w:b/>
          <w:sz w:val="28"/>
          <w:szCs w:val="28"/>
        </w:rPr>
        <w:tab/>
        <w:t>mechanisms to revert to Phase 0 if necessary:</w:t>
      </w:r>
      <w:r>
        <w:rPr>
          <w:rFonts w:ascii="Times New Roman" w:eastAsia="Times New Roman" w:hAnsi="Times New Roman" w:cs="Times New Roman"/>
          <w:b/>
          <w:sz w:val="28"/>
          <w:szCs w:val="28"/>
        </w:rPr>
        <w:tab/>
      </w:r>
      <w:r>
        <w:rPr>
          <w:rFonts w:ascii="Times New Roman" w:eastAsia="Times New Roman" w:hAnsi="Times New Roman" w:cs="Times New Roman"/>
          <w:b/>
          <w:sz w:val="24"/>
          <w:szCs w:val="24"/>
        </w:rPr>
        <w:br/>
      </w:r>
    </w:p>
    <w:p w14:paraId="1A98B4C1" w14:textId="77777777" w:rsidR="002054A7" w:rsidRDefault="002054A7">
      <w:pPr>
        <w:ind w:left="720"/>
        <w:rPr>
          <w:rFonts w:ascii="Times New Roman" w:eastAsia="Times New Roman" w:hAnsi="Times New Roman" w:cs="Times New Roman"/>
          <w:b/>
          <w:sz w:val="24"/>
          <w:szCs w:val="24"/>
        </w:rPr>
      </w:pPr>
    </w:p>
    <w:p w14:paraId="6F5B0157" w14:textId="77777777" w:rsidR="002054A7" w:rsidRDefault="002054A7">
      <w:pPr>
        <w:spacing w:before="240"/>
        <w:rPr>
          <w:rFonts w:ascii="Times New Roman" w:eastAsia="Times New Roman" w:hAnsi="Times New Roman" w:cs="Times New Roman"/>
          <w:sz w:val="24"/>
          <w:szCs w:val="24"/>
        </w:rPr>
      </w:pPr>
    </w:p>
    <w:p w14:paraId="114F4D69" w14:textId="77777777" w:rsidR="002054A7" w:rsidRDefault="002054A7">
      <w:pPr>
        <w:rPr>
          <w:rFonts w:ascii="Times New Roman" w:eastAsia="Times New Roman" w:hAnsi="Times New Roman" w:cs="Times New Roman"/>
          <w:sz w:val="24"/>
          <w:szCs w:val="24"/>
        </w:rPr>
      </w:pPr>
    </w:p>
    <w:p w14:paraId="2A5970B7" w14:textId="77777777" w:rsidR="002054A7" w:rsidRDefault="002054A7">
      <w:pPr>
        <w:rPr>
          <w:rFonts w:ascii="Times New Roman" w:eastAsia="Times New Roman" w:hAnsi="Times New Roman" w:cs="Times New Roman"/>
          <w:sz w:val="24"/>
          <w:szCs w:val="24"/>
        </w:rPr>
      </w:pPr>
    </w:p>
    <w:p w14:paraId="4445DF77" w14:textId="77777777" w:rsidR="002054A7" w:rsidRDefault="002054A7">
      <w:pPr>
        <w:rPr>
          <w:rFonts w:ascii="Times New Roman" w:eastAsia="Times New Roman" w:hAnsi="Times New Roman" w:cs="Times New Roman"/>
        </w:rPr>
      </w:pPr>
    </w:p>
    <w:sectPr w:rsidR="002054A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13E56" w14:textId="77777777" w:rsidR="00DB189E" w:rsidRDefault="00DB189E">
      <w:pPr>
        <w:spacing w:line="240" w:lineRule="auto"/>
      </w:pPr>
      <w:r>
        <w:separator/>
      </w:r>
    </w:p>
  </w:endnote>
  <w:endnote w:type="continuationSeparator" w:id="0">
    <w:p w14:paraId="6E26B6F7" w14:textId="77777777" w:rsidR="00DB189E" w:rsidRDefault="00DB1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31408" w14:textId="77777777" w:rsidR="00DB189E" w:rsidRDefault="00DB189E">
      <w:pPr>
        <w:spacing w:line="240" w:lineRule="auto"/>
      </w:pPr>
      <w:r>
        <w:separator/>
      </w:r>
    </w:p>
  </w:footnote>
  <w:footnote w:type="continuationSeparator" w:id="0">
    <w:p w14:paraId="7E73587B" w14:textId="77777777" w:rsidR="00DB189E" w:rsidRDefault="00DB1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ADB6" w14:textId="77777777" w:rsidR="002054A7" w:rsidRDefault="00697297">
    <w:pPr>
      <w:pStyle w:val="Heading1"/>
      <w:keepNext w:val="0"/>
      <w:keepLines w:val="0"/>
      <w:spacing w:before="480"/>
      <w:jc w:val="center"/>
      <w:rPr>
        <w:sz w:val="24"/>
        <w:szCs w:val="24"/>
      </w:rPr>
    </w:pPr>
    <w:bookmarkStart w:id="2" w:name="_h6e6gy1lnno9" w:colFirst="0" w:colLast="0"/>
    <w:bookmarkEnd w:id="2"/>
    <w:r>
      <w:rPr>
        <w:rFonts w:ascii="Times New Roman" w:eastAsia="Times New Roman" w:hAnsi="Times New Roman" w:cs="Times New Roman"/>
        <w:sz w:val="24"/>
        <w:szCs w:val="24"/>
      </w:rPr>
      <w:t>Laboratory COVID19 Response Standard Operating Procedure (LCR-SOP)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588"/>
    <w:multiLevelType w:val="multilevel"/>
    <w:tmpl w:val="E46EC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21BCF"/>
    <w:multiLevelType w:val="multilevel"/>
    <w:tmpl w:val="10225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30F89"/>
    <w:multiLevelType w:val="multilevel"/>
    <w:tmpl w:val="75A6E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CC6B43"/>
    <w:multiLevelType w:val="multilevel"/>
    <w:tmpl w:val="68D88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DE1077"/>
    <w:multiLevelType w:val="multilevel"/>
    <w:tmpl w:val="C0BCA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7554B5"/>
    <w:multiLevelType w:val="multilevel"/>
    <w:tmpl w:val="E842D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7213C"/>
    <w:multiLevelType w:val="multilevel"/>
    <w:tmpl w:val="4A7CC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3A1E93"/>
    <w:multiLevelType w:val="multilevel"/>
    <w:tmpl w:val="4642C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506592"/>
    <w:multiLevelType w:val="multilevel"/>
    <w:tmpl w:val="AFBA24E6"/>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DA70C3"/>
    <w:multiLevelType w:val="multilevel"/>
    <w:tmpl w:val="88B4E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3D5065"/>
    <w:multiLevelType w:val="multilevel"/>
    <w:tmpl w:val="FE883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147AAA"/>
    <w:multiLevelType w:val="multilevel"/>
    <w:tmpl w:val="529CB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DA1BA5"/>
    <w:multiLevelType w:val="multilevel"/>
    <w:tmpl w:val="81B8F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0"/>
  </w:num>
  <w:num w:numId="4">
    <w:abstractNumId w:val="4"/>
  </w:num>
  <w:num w:numId="5">
    <w:abstractNumId w:val="2"/>
  </w:num>
  <w:num w:numId="6">
    <w:abstractNumId w:val="6"/>
  </w:num>
  <w:num w:numId="7">
    <w:abstractNumId w:val="7"/>
  </w:num>
  <w:num w:numId="8">
    <w:abstractNumId w:val="11"/>
  </w:num>
  <w:num w:numId="9">
    <w:abstractNumId w:val="9"/>
  </w:num>
  <w:num w:numId="10">
    <w:abstractNumId w:val="3"/>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A7"/>
    <w:rsid w:val="000C4247"/>
    <w:rsid w:val="000C4C51"/>
    <w:rsid w:val="001D09DC"/>
    <w:rsid w:val="002054A7"/>
    <w:rsid w:val="00697297"/>
    <w:rsid w:val="00975441"/>
    <w:rsid w:val="00C677A3"/>
    <w:rsid w:val="00DB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03D1"/>
  <w15:docId w15:val="{DF60089E-44D7-4B0F-A860-EDE884F5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D09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Blanda, Michael T</dc:creator>
  <cp:lastModifiedBy>Blanda, Michael T</cp:lastModifiedBy>
  <cp:revision>3</cp:revision>
  <dcterms:created xsi:type="dcterms:W3CDTF">2020-05-30T16:04:00Z</dcterms:created>
  <dcterms:modified xsi:type="dcterms:W3CDTF">2020-05-30T16:39:00Z</dcterms:modified>
</cp:coreProperties>
</file>