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7193" w:right="0" w:firstLine="0"/>
        <w:jc w:val="left"/>
        <w:rPr>
          <w:b/>
          <w:sz w:val="42"/>
        </w:rPr>
      </w:pPr>
      <w:r>
        <w:rPr>
          <w:b/>
          <w:sz w:val="42"/>
        </w:rPr>
        <w:t>Customer is King!</w:t>
      </w:r>
    </w:p>
    <w:p>
      <w:pPr>
        <w:pStyle w:val="BodyText"/>
        <w:spacing w:before="2"/>
        <w:rPr>
          <w:b/>
          <w:sz w:val="72"/>
        </w:rPr>
      </w:pPr>
    </w:p>
    <w:p>
      <w:pPr>
        <w:pStyle w:val="Heading1"/>
        <w:ind w:left="7095"/>
        <w:jc w:val="left"/>
      </w:pPr>
      <w:r>
        <w:rPr>
          <w:color w:val="FFFFFF"/>
          <w:w w:val="105"/>
        </w:rPr>
        <w:t>Sales and Sales Support Staff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5360" w:h="11520" w:orient="landscape"/>
          <w:pgMar w:top="1000" w:bottom="280" w:left="480" w:right="2200"/>
        </w:sectPr>
      </w:pPr>
    </w:p>
    <w:p>
      <w:pPr>
        <w:pStyle w:val="BodyText"/>
        <w:spacing w:before="9"/>
        <w:rPr>
          <w:sz w:val="89"/>
        </w:rPr>
      </w:pPr>
      <w:r>
        <w:rPr/>
        <w:pict>
          <v:rect style="position:absolute;margin-left:0pt;margin-top:0pt;width:768.000023pt;height:576.000017pt;mso-position-horizontal-relative:page;mso-position-vertical-relative:page;z-index:-2344" filled="true" fillcolor="#643795" stroked="false">
            <v:fill type="solid"/>
            <w10:wrap type="none"/>
          </v:rect>
        </w:pict>
      </w:r>
      <w:r>
        <w:rPr/>
        <w:pict>
          <v:group style="position:absolute;margin-left:-.000014pt;margin-top:.0pt;width:735.75pt;height:576pt;mso-position-horizontal-relative:page;mso-position-vertical-relative:page;z-index:-2320" coordorigin="0,0" coordsize="14715,11520">
            <v:shape style="position:absolute;left:4260;top:1785;width:10455;height:9060" coordorigin="4260,1785" coordsize="10455,9060" path="m9488,10845l4260,1785,14715,1785,14645,1906,4470,1906,5256,3269,12432,3269,12432,3390,5327,3390,7669,7449,10537,7449,10537,7571,7738,7571,8481,8857,10635,8857,10572,8966,8544,8966,9488,10602,9628,10602,9488,10845xm10635,8857l8481,8857,8481,8843,10503,8843,12041,6177,7698,6177,7698,6056,12110,6056,12844,4784,6917,4784,6917,4662,12914,4662,14504,1906,14645,1906,10635,8857xm9628,10602l9488,10602,10432,8966,10572,8966,9628,10602xe" filled="true" fillcolor="#fbcf39" stroked="false">
              <v:path arrowok="t"/>
              <v:fill type="solid"/>
            </v:shape>
            <v:shape style="position:absolute;left:0;top:0;width:8846;height:11520" coordorigin="0,0" coordsize="8846,11520" path="m8845,11520l0,11520,0,0,2131,0,8845,11520xe" filled="true" fillcolor="#000000" stroked="false">
              <v:path arrowok="t"/>
              <v:fill opacity="16191f" type="solid"/>
            </v:shape>
            <w10:wrap type="none"/>
          </v:group>
        </w:pict>
      </w:r>
    </w:p>
    <w:p>
      <w:pPr>
        <w:spacing w:line="237" w:lineRule="auto" w:before="0"/>
        <w:ind w:left="105" w:right="1311" w:firstLine="0"/>
        <w:jc w:val="left"/>
        <w:rPr>
          <w:b/>
          <w:sz w:val="75"/>
        </w:rPr>
      </w:pPr>
      <w:r>
        <w:rPr>
          <w:b/>
          <w:color w:val="FFFFFF"/>
          <w:spacing w:val="-7"/>
          <w:w w:val="105"/>
          <w:sz w:val="75"/>
        </w:rPr>
        <w:t>Inverted Pyramid </w:t>
      </w:r>
      <w:r>
        <w:rPr>
          <w:b/>
          <w:color w:val="FFFFFF"/>
          <w:spacing w:val="-6"/>
          <w:w w:val="105"/>
          <w:sz w:val="75"/>
        </w:rPr>
        <w:t>Org</w:t>
      </w:r>
      <w:r>
        <w:rPr>
          <w:b/>
          <w:color w:val="FFFFFF"/>
          <w:spacing w:val="-108"/>
          <w:w w:val="105"/>
          <w:sz w:val="75"/>
        </w:rPr>
        <w:t> </w:t>
      </w:r>
      <w:r>
        <w:rPr>
          <w:b/>
          <w:color w:val="FFFFFF"/>
          <w:spacing w:val="-7"/>
          <w:w w:val="105"/>
          <w:sz w:val="75"/>
        </w:rPr>
        <w:t>Chart</w:t>
      </w:r>
    </w:p>
    <w:p>
      <w:pPr>
        <w:pStyle w:val="BodyText"/>
        <w:spacing w:line="417" w:lineRule="auto" w:before="274"/>
        <w:ind w:left="105" w:right="6"/>
      </w:pPr>
      <w:r>
        <w:rPr>
          <w:color w:val="FBCF39"/>
          <w:w w:val="105"/>
        </w:rPr>
        <w:t>An</w:t>
      </w:r>
      <w:r>
        <w:rPr>
          <w:color w:val="FBCF39"/>
          <w:spacing w:val="-13"/>
          <w:w w:val="105"/>
        </w:rPr>
        <w:t> </w:t>
      </w:r>
      <w:r>
        <w:rPr>
          <w:color w:val="FBCF39"/>
          <w:spacing w:val="-3"/>
          <w:w w:val="105"/>
        </w:rPr>
        <w:t>organisational</w:t>
      </w:r>
      <w:r>
        <w:rPr>
          <w:color w:val="FBCF39"/>
          <w:spacing w:val="-12"/>
          <w:w w:val="105"/>
        </w:rPr>
        <w:t> </w:t>
      </w:r>
      <w:r>
        <w:rPr>
          <w:color w:val="FBCF39"/>
          <w:w w:val="105"/>
        </w:rPr>
        <w:t>chart</w:t>
      </w:r>
      <w:r>
        <w:rPr>
          <w:color w:val="FBCF39"/>
          <w:spacing w:val="-13"/>
          <w:w w:val="105"/>
        </w:rPr>
        <w:t> </w:t>
      </w:r>
      <w:r>
        <w:rPr>
          <w:color w:val="FBCF39"/>
          <w:w w:val="105"/>
        </w:rPr>
        <w:t>(often</w:t>
      </w:r>
      <w:r>
        <w:rPr>
          <w:color w:val="FBCF39"/>
          <w:spacing w:val="-12"/>
          <w:w w:val="105"/>
        </w:rPr>
        <w:t> </w:t>
      </w:r>
      <w:r>
        <w:rPr>
          <w:color w:val="FBCF39"/>
          <w:w w:val="105"/>
        </w:rPr>
        <w:t>called</w:t>
      </w:r>
      <w:r>
        <w:rPr>
          <w:color w:val="FBCF39"/>
          <w:spacing w:val="-13"/>
          <w:w w:val="105"/>
        </w:rPr>
        <w:t> </w:t>
      </w:r>
      <w:r>
        <w:rPr>
          <w:color w:val="FBCF39"/>
          <w:spacing w:val="-3"/>
          <w:w w:val="105"/>
        </w:rPr>
        <w:t>organisation</w:t>
      </w:r>
      <w:r>
        <w:rPr>
          <w:color w:val="FBCF39"/>
          <w:spacing w:val="-12"/>
          <w:w w:val="105"/>
        </w:rPr>
        <w:t> </w:t>
      </w:r>
      <w:r>
        <w:rPr>
          <w:color w:val="FBCF39"/>
          <w:w w:val="105"/>
        </w:rPr>
        <w:t>chart,</w:t>
      </w:r>
      <w:r>
        <w:rPr>
          <w:color w:val="FBCF39"/>
          <w:spacing w:val="-13"/>
          <w:w w:val="105"/>
        </w:rPr>
        <w:t> </w:t>
      </w:r>
      <w:r>
        <w:rPr>
          <w:color w:val="FBCF39"/>
          <w:w w:val="105"/>
        </w:rPr>
        <w:t>org chart, </w:t>
      </w:r>
      <w:r>
        <w:rPr>
          <w:color w:val="FBCF39"/>
          <w:spacing w:val="-3"/>
          <w:w w:val="105"/>
        </w:rPr>
        <w:t>organigram(me), </w:t>
      </w:r>
      <w:r>
        <w:rPr>
          <w:color w:val="FBCF39"/>
          <w:w w:val="105"/>
        </w:rPr>
        <w:t>or </w:t>
      </w:r>
      <w:r>
        <w:rPr>
          <w:color w:val="FBCF39"/>
          <w:spacing w:val="-3"/>
          <w:w w:val="105"/>
        </w:rPr>
        <w:t>organogram) </w:t>
      </w:r>
      <w:r>
        <w:rPr>
          <w:color w:val="FBCF39"/>
          <w:w w:val="105"/>
        </w:rPr>
        <w:t>is a </w:t>
      </w:r>
      <w:r>
        <w:rPr>
          <w:color w:val="FBCF39"/>
          <w:spacing w:val="-3"/>
          <w:w w:val="105"/>
        </w:rPr>
        <w:t>diagram </w:t>
      </w:r>
      <w:r>
        <w:rPr>
          <w:color w:val="FBCF39"/>
          <w:w w:val="105"/>
        </w:rPr>
        <w:t>that shows the structure of an </w:t>
      </w:r>
      <w:r>
        <w:rPr>
          <w:color w:val="FBCF39"/>
          <w:spacing w:val="-3"/>
          <w:w w:val="105"/>
        </w:rPr>
        <w:t>organisation </w:t>
      </w:r>
      <w:r>
        <w:rPr>
          <w:color w:val="FBCF39"/>
          <w:w w:val="105"/>
        </w:rPr>
        <w:t>and the </w:t>
      </w:r>
      <w:r>
        <w:rPr>
          <w:color w:val="FBCF39"/>
          <w:spacing w:val="-3"/>
          <w:w w:val="105"/>
        </w:rPr>
        <w:t>relationships </w:t>
      </w:r>
      <w:r>
        <w:rPr>
          <w:color w:val="FBCF39"/>
          <w:w w:val="105"/>
        </w:rPr>
        <w:t>and </w:t>
      </w:r>
      <w:r>
        <w:rPr>
          <w:color w:val="FBCF39"/>
          <w:spacing w:val="-3"/>
          <w:w w:val="105"/>
        </w:rPr>
        <w:t>relative </w:t>
      </w:r>
      <w:r>
        <w:rPr>
          <w:color w:val="FBCF39"/>
          <w:w w:val="105"/>
        </w:rPr>
        <w:t>ranks of its </w:t>
      </w:r>
      <w:r>
        <w:rPr>
          <w:color w:val="FBCF39"/>
          <w:spacing w:val="-3"/>
          <w:w w:val="105"/>
        </w:rPr>
        <w:t>parts </w:t>
      </w:r>
      <w:r>
        <w:rPr>
          <w:color w:val="FBCF39"/>
          <w:w w:val="105"/>
        </w:rPr>
        <w:t>and </w:t>
      </w:r>
      <w:r>
        <w:rPr>
          <w:color w:val="FBCF39"/>
          <w:spacing w:val="-3"/>
          <w:w w:val="105"/>
        </w:rPr>
        <w:t>positions/jobs. </w:t>
      </w:r>
      <w:r>
        <w:rPr>
          <w:color w:val="FBCF39"/>
          <w:w w:val="105"/>
        </w:rPr>
        <w:t>The term is also used for similar </w:t>
      </w:r>
      <w:r>
        <w:rPr>
          <w:color w:val="FBCF39"/>
          <w:spacing w:val="-3"/>
          <w:w w:val="105"/>
        </w:rPr>
        <w:t>diagrams, </w:t>
      </w:r>
      <w:r>
        <w:rPr>
          <w:color w:val="FBCF39"/>
          <w:w w:val="105"/>
        </w:rPr>
        <w:t>for </w:t>
      </w:r>
      <w:r>
        <w:rPr>
          <w:color w:val="FBCF39"/>
          <w:spacing w:val="-3"/>
          <w:w w:val="105"/>
        </w:rPr>
        <w:t>example </w:t>
      </w:r>
      <w:r>
        <w:rPr>
          <w:color w:val="FBCF39"/>
          <w:w w:val="105"/>
        </w:rPr>
        <w:t>ones showing the </w:t>
      </w:r>
      <w:r>
        <w:rPr>
          <w:color w:val="FBCF39"/>
          <w:spacing w:val="-3"/>
          <w:w w:val="105"/>
        </w:rPr>
        <w:t>different elements </w:t>
      </w:r>
      <w:r>
        <w:rPr>
          <w:color w:val="FBCF39"/>
          <w:w w:val="105"/>
        </w:rPr>
        <w:t>of a field of </w:t>
      </w:r>
      <w:r>
        <w:rPr>
          <w:color w:val="FBCF39"/>
          <w:spacing w:val="-3"/>
          <w:w w:val="105"/>
        </w:rPr>
        <w:t>knowledge </w:t>
      </w:r>
      <w:r>
        <w:rPr>
          <w:color w:val="FBCF39"/>
          <w:w w:val="105"/>
        </w:rPr>
        <w:t>or a </w:t>
      </w:r>
      <w:r>
        <w:rPr>
          <w:color w:val="FBCF39"/>
          <w:spacing w:val="-3"/>
          <w:w w:val="105"/>
        </w:rPr>
        <w:t>group </w:t>
      </w:r>
      <w:r>
        <w:rPr>
          <w:color w:val="FBCF39"/>
          <w:w w:val="105"/>
        </w:rPr>
        <w:t>of </w:t>
      </w:r>
      <w:r>
        <w:rPr>
          <w:color w:val="FBCF39"/>
          <w:spacing w:val="-3"/>
          <w:w w:val="105"/>
        </w:rPr>
        <w:t>languages. </w:t>
      </w:r>
      <w:r>
        <w:rPr>
          <w:color w:val="FBCF39"/>
          <w:w w:val="105"/>
        </w:rPr>
        <w:t>The </w:t>
      </w:r>
      <w:r>
        <w:rPr>
          <w:color w:val="FBCF39"/>
          <w:spacing w:val="-3"/>
          <w:w w:val="105"/>
        </w:rPr>
        <w:t>organization </w:t>
      </w:r>
      <w:r>
        <w:rPr>
          <w:color w:val="FBCF39"/>
          <w:w w:val="105"/>
        </w:rPr>
        <w:t>chart is a </w:t>
      </w:r>
      <w:r>
        <w:rPr>
          <w:color w:val="FBCF39"/>
          <w:spacing w:val="-3"/>
          <w:w w:val="105"/>
        </w:rPr>
        <w:t>diagram </w:t>
      </w:r>
      <w:r>
        <w:rPr>
          <w:color w:val="FBCF39"/>
          <w:w w:val="105"/>
        </w:rPr>
        <w:t>showing </w:t>
      </w:r>
      <w:r>
        <w:rPr>
          <w:color w:val="FBCF39"/>
          <w:spacing w:val="-3"/>
          <w:w w:val="105"/>
        </w:rPr>
        <w:t>graphically </w:t>
      </w:r>
      <w:r>
        <w:rPr>
          <w:color w:val="FBCF39"/>
          <w:w w:val="105"/>
        </w:rPr>
        <w:t>the </w:t>
      </w:r>
      <w:r>
        <w:rPr>
          <w:color w:val="FBCF39"/>
          <w:spacing w:val="-3"/>
          <w:w w:val="105"/>
        </w:rPr>
        <w:t>relation </w:t>
      </w:r>
      <w:r>
        <w:rPr>
          <w:color w:val="FBCF39"/>
          <w:w w:val="105"/>
        </w:rPr>
        <w:t>of one official to </w:t>
      </w:r>
      <w:r>
        <w:rPr>
          <w:color w:val="FBCF39"/>
          <w:spacing w:val="-3"/>
          <w:w w:val="105"/>
        </w:rPr>
        <w:t>another, </w:t>
      </w:r>
      <w:r>
        <w:rPr>
          <w:color w:val="FBCF39"/>
          <w:w w:val="105"/>
        </w:rPr>
        <w:t>or </w:t>
      </w:r>
      <w:r>
        <w:rPr>
          <w:color w:val="FBCF39"/>
          <w:spacing w:val="-3"/>
          <w:w w:val="105"/>
        </w:rPr>
        <w:t>others, </w:t>
      </w:r>
      <w:r>
        <w:rPr>
          <w:color w:val="FBCF39"/>
          <w:w w:val="105"/>
        </w:rPr>
        <w:t>of a</w:t>
      </w:r>
      <w:r>
        <w:rPr>
          <w:color w:val="FBCF39"/>
          <w:spacing w:val="-16"/>
          <w:w w:val="105"/>
        </w:rPr>
        <w:t> </w:t>
      </w:r>
      <w:r>
        <w:rPr>
          <w:color w:val="FBCF39"/>
          <w:spacing w:val="-3"/>
          <w:w w:val="105"/>
        </w:rPr>
        <w:t>company.</w:t>
      </w:r>
    </w:p>
    <w:p>
      <w:pPr>
        <w:pStyle w:val="Heading1"/>
        <w:spacing w:before="118"/>
        <w:ind w:right="2110"/>
      </w:pPr>
      <w:r>
        <w:rPr/>
        <w:br w:type="column"/>
      </w:r>
      <w:r>
        <w:rPr>
          <w:color w:val="FFFFFF"/>
          <w:w w:val="110"/>
        </w:rPr>
        <w:t>Department Managers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45"/>
        <w:ind w:left="19" w:right="2109" w:firstLine="0"/>
        <w:jc w:val="center"/>
        <w:rPr>
          <w:sz w:val="28"/>
        </w:rPr>
      </w:pPr>
      <w:r>
        <w:rPr>
          <w:color w:val="FFFFFF"/>
          <w:w w:val="110"/>
          <w:sz w:val="28"/>
        </w:rPr>
        <w:t>Middle Managers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Heading2"/>
        <w:spacing w:before="248"/>
        <w:ind w:left="19"/>
      </w:pPr>
      <w:r>
        <w:rPr>
          <w:color w:val="FFFFFF"/>
          <w:w w:val="110"/>
        </w:rPr>
        <w:t>Vice Presidents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1"/>
        <w:ind w:left="6" w:right="2110" w:firstLine="0"/>
        <w:jc w:val="center"/>
        <w:rPr>
          <w:sz w:val="24"/>
        </w:rPr>
      </w:pPr>
      <w:r>
        <w:rPr>
          <w:color w:val="FFFFFF"/>
          <w:sz w:val="24"/>
        </w:rPr>
        <w:t>CEO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2"/>
        </w:rPr>
      </w:pPr>
    </w:p>
    <w:p>
      <w:pPr>
        <w:spacing w:before="0"/>
        <w:ind w:left="1128" w:right="3220" w:hanging="1"/>
        <w:jc w:val="center"/>
        <w:rPr>
          <w:sz w:val="21"/>
        </w:rPr>
      </w:pPr>
      <w:r>
        <w:rPr>
          <w:color w:val="FFFFFF"/>
          <w:spacing w:val="-3"/>
          <w:w w:val="110"/>
          <w:sz w:val="21"/>
        </w:rPr>
        <w:t>Board </w:t>
      </w:r>
      <w:r>
        <w:rPr>
          <w:color w:val="FFFFFF"/>
          <w:w w:val="110"/>
          <w:sz w:val="21"/>
        </w:rPr>
        <w:t>of </w:t>
      </w:r>
      <w:r>
        <w:rPr>
          <w:color w:val="FFFFFF"/>
          <w:spacing w:val="-5"/>
          <w:w w:val="110"/>
          <w:sz w:val="21"/>
        </w:rPr>
        <w:t>Directors</w:t>
      </w:r>
    </w:p>
    <w:sectPr>
      <w:type w:val="continuous"/>
      <w:pgSz w:w="15360" w:h="11520" w:orient="landscape"/>
      <w:pgMar w:top="1000" w:bottom="280" w:left="480" w:right="2200"/>
      <w:cols w:num="2" w:equalWidth="0">
        <w:col w:w="4951" w:space="2495"/>
        <w:col w:w="52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9"/>
      <w:jc w:val="center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"/>
      <w:ind w:left="6" w:right="2095"/>
      <w:jc w:val="center"/>
      <w:outlineLvl w:val="2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Appurse Lu</dc:creator>
  <cp:keywords>DAC2of27guA</cp:keywords>
  <dc:title>Inverted Pyramid Organizational Chart</dc:title>
  <dcterms:created xsi:type="dcterms:W3CDTF">2018-05-03T02:12:42Z</dcterms:created>
  <dcterms:modified xsi:type="dcterms:W3CDTF">2018-05-03T02:12:42Z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Canva</vt:lpwstr>
  </property>
  <property fmtid="{D5CDD505-2E9C-101B-9397-08002B2CF9AE}" pid="4" name="LastSaved">
    <vt:filetime>2018-05-03T00:00:00Z</vt:filetime>
  </property>
</Properties>
</file>